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460"/>
        <w:gridCol w:w="5953"/>
        <w:gridCol w:w="5954"/>
        <w:gridCol w:w="1417"/>
      </w:tblGrid>
      <w:tr w:rsidR="00E8234C" w14:paraId="65984374" w14:textId="77777777" w:rsidTr="004D64B2">
        <w:tc>
          <w:tcPr>
            <w:tcW w:w="460" w:type="dxa"/>
          </w:tcPr>
          <w:p w14:paraId="39293F56" w14:textId="77777777" w:rsidR="00E8234C" w:rsidRDefault="00E8234C"/>
        </w:tc>
        <w:tc>
          <w:tcPr>
            <w:tcW w:w="5953" w:type="dxa"/>
          </w:tcPr>
          <w:p w14:paraId="7E6F9A02" w14:textId="694AE997" w:rsidR="00E8234C" w:rsidRPr="001656B0" w:rsidRDefault="004D64B2" w:rsidP="00E8234C">
            <w:pPr>
              <w:jc w:val="center"/>
              <w:rPr>
                <w:rFonts w:ascii="Arial" w:hAnsi="Arial" w:cs="Arial"/>
                <w:b/>
                <w:bCs/>
                <w:sz w:val="22"/>
                <w:szCs w:val="22"/>
              </w:rPr>
            </w:pPr>
            <w:r w:rsidRPr="001656B0">
              <w:rPr>
                <w:rFonts w:ascii="Arial" w:hAnsi="Arial" w:cs="Arial"/>
                <w:b/>
                <w:bCs/>
                <w:sz w:val="22"/>
                <w:szCs w:val="22"/>
              </w:rPr>
              <w:t xml:space="preserve">Charakterystyka wymagania </w:t>
            </w:r>
            <w:r w:rsidR="00E8234C" w:rsidRPr="001656B0">
              <w:rPr>
                <w:rFonts w:ascii="Arial" w:hAnsi="Arial" w:cs="Arial"/>
                <w:b/>
                <w:bCs/>
                <w:sz w:val="22"/>
                <w:szCs w:val="22"/>
              </w:rPr>
              <w:t>minimalne</w:t>
            </w:r>
          </w:p>
        </w:tc>
        <w:tc>
          <w:tcPr>
            <w:tcW w:w="5954" w:type="dxa"/>
          </w:tcPr>
          <w:p w14:paraId="1A7441C7" w14:textId="03432165" w:rsidR="00E8234C" w:rsidRPr="001656B0" w:rsidRDefault="00E8234C" w:rsidP="00E8234C">
            <w:pPr>
              <w:jc w:val="center"/>
              <w:rPr>
                <w:rFonts w:ascii="Arial" w:hAnsi="Arial" w:cs="Arial"/>
                <w:b/>
                <w:bCs/>
                <w:sz w:val="22"/>
                <w:szCs w:val="22"/>
              </w:rPr>
            </w:pPr>
            <w:r w:rsidRPr="001656B0">
              <w:rPr>
                <w:rFonts w:ascii="Arial" w:hAnsi="Arial" w:cs="Arial"/>
                <w:b/>
                <w:bCs/>
                <w:sz w:val="22"/>
                <w:szCs w:val="22"/>
              </w:rPr>
              <w:t>Wymagania oferowane przez Wykonawcę</w:t>
            </w:r>
          </w:p>
        </w:tc>
        <w:tc>
          <w:tcPr>
            <w:tcW w:w="1417" w:type="dxa"/>
          </w:tcPr>
          <w:p w14:paraId="790C3D4A" w14:textId="4B83BFAB" w:rsidR="00E8234C" w:rsidRPr="001656B0" w:rsidRDefault="00E8234C" w:rsidP="00E8234C">
            <w:pPr>
              <w:jc w:val="center"/>
              <w:rPr>
                <w:rFonts w:ascii="Arial" w:hAnsi="Arial" w:cs="Arial"/>
                <w:b/>
                <w:bCs/>
                <w:sz w:val="22"/>
                <w:szCs w:val="22"/>
              </w:rPr>
            </w:pPr>
            <w:r w:rsidRPr="001656B0">
              <w:rPr>
                <w:rFonts w:ascii="Arial" w:hAnsi="Arial" w:cs="Arial"/>
                <w:b/>
                <w:bCs/>
                <w:sz w:val="22"/>
                <w:szCs w:val="22"/>
              </w:rPr>
              <w:t>Spełnia (TAK/NIE) – wpisać właściwe</w:t>
            </w:r>
          </w:p>
        </w:tc>
      </w:tr>
      <w:tr w:rsidR="004D64B2" w14:paraId="194D342A" w14:textId="77777777" w:rsidTr="004D64B2">
        <w:tc>
          <w:tcPr>
            <w:tcW w:w="460" w:type="dxa"/>
          </w:tcPr>
          <w:p w14:paraId="1D60B7D9" w14:textId="5A5F3A5F" w:rsidR="004D64B2" w:rsidRDefault="004D64B2" w:rsidP="004D64B2">
            <w:r>
              <w:t>1</w:t>
            </w:r>
          </w:p>
        </w:tc>
        <w:tc>
          <w:tcPr>
            <w:tcW w:w="5953" w:type="dxa"/>
            <w:tcBorders>
              <w:top w:val="single" w:sz="6" w:space="0" w:color="auto"/>
              <w:left w:val="single" w:sz="6" w:space="0" w:color="auto"/>
              <w:bottom w:val="single" w:sz="6" w:space="0" w:color="auto"/>
              <w:right w:val="single" w:sz="6" w:space="0" w:color="auto"/>
            </w:tcBorders>
            <w:vAlign w:val="center"/>
          </w:tcPr>
          <w:p w14:paraId="2279B93B" w14:textId="2CD4A694" w:rsidR="004D64B2" w:rsidRPr="001656B0" w:rsidRDefault="004D64B2" w:rsidP="004D64B2">
            <w:pPr>
              <w:jc w:val="center"/>
              <w:rPr>
                <w:rFonts w:ascii="Arial" w:hAnsi="Arial" w:cs="Arial"/>
                <w:sz w:val="22"/>
                <w:szCs w:val="22"/>
              </w:rPr>
            </w:pPr>
            <w:r w:rsidRPr="001656B0">
              <w:rPr>
                <w:rFonts w:ascii="Arial" w:hAnsi="Arial" w:cs="Arial"/>
                <w:sz w:val="22"/>
                <w:szCs w:val="22"/>
              </w:rPr>
              <w:t>Oferowane oprogramowanie bazodanowe musi znajdować się na liście wspieranych systemów bazodanowych dla systemów eksploatowanych przez Zamawiającego (AMMS PLUS (HIS, EDM, LIS, ERP), PACS), zgodnie z aktualną dokumentacją techniczną producenta. Wymóg ten wynika z faktu, iż brak wsparcia producenta systemu dziedzinowego dla warstwy bazodanowej skutkowałby odmową realizacji usługi nadzoru autorskiego, odmową obsługi zgłoszeń serwisowych lub przeniesieniem odpowiedzialności za incydenty na Zamawiającego, co w środowisku ochrony zdrowia jest niedopuszczalne.</w:t>
            </w:r>
          </w:p>
        </w:tc>
        <w:tc>
          <w:tcPr>
            <w:tcW w:w="5954" w:type="dxa"/>
          </w:tcPr>
          <w:p w14:paraId="32C3C528" w14:textId="77777777" w:rsidR="004D64B2" w:rsidRPr="001656B0" w:rsidRDefault="004D64B2" w:rsidP="004D64B2">
            <w:pPr>
              <w:rPr>
                <w:rFonts w:ascii="Arial" w:hAnsi="Arial" w:cs="Arial"/>
                <w:sz w:val="22"/>
                <w:szCs w:val="22"/>
              </w:rPr>
            </w:pPr>
          </w:p>
        </w:tc>
        <w:tc>
          <w:tcPr>
            <w:tcW w:w="1417" w:type="dxa"/>
          </w:tcPr>
          <w:p w14:paraId="1B6F5644" w14:textId="77777777" w:rsidR="004D64B2" w:rsidRPr="001656B0" w:rsidRDefault="004D64B2" w:rsidP="004D64B2">
            <w:pPr>
              <w:rPr>
                <w:rFonts w:ascii="Arial" w:hAnsi="Arial" w:cs="Arial"/>
                <w:sz w:val="22"/>
                <w:szCs w:val="22"/>
              </w:rPr>
            </w:pPr>
          </w:p>
        </w:tc>
      </w:tr>
      <w:tr w:rsidR="004D64B2" w14:paraId="2E1A97A1" w14:textId="77777777" w:rsidTr="004D64B2">
        <w:tc>
          <w:tcPr>
            <w:tcW w:w="460" w:type="dxa"/>
          </w:tcPr>
          <w:p w14:paraId="741521CD" w14:textId="124F3E88" w:rsidR="004D64B2" w:rsidRDefault="004D64B2" w:rsidP="004D64B2">
            <w:r>
              <w:t>2</w:t>
            </w:r>
          </w:p>
        </w:tc>
        <w:tc>
          <w:tcPr>
            <w:tcW w:w="5953" w:type="dxa"/>
            <w:tcBorders>
              <w:top w:val="single" w:sz="6" w:space="0" w:color="auto"/>
              <w:left w:val="single" w:sz="6" w:space="0" w:color="auto"/>
              <w:bottom w:val="single" w:sz="6" w:space="0" w:color="auto"/>
              <w:right w:val="single" w:sz="6" w:space="0" w:color="auto"/>
            </w:tcBorders>
            <w:vAlign w:val="center"/>
          </w:tcPr>
          <w:p w14:paraId="69BEA6C3" w14:textId="7507480A"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Licencja musi zapewniać prawo do instalacji i użytkowania oprogramowania w środowisku produkcyjnym Zamawiającego na 1 </w:t>
            </w:r>
            <w:proofErr w:type="spellStart"/>
            <w:r w:rsidRPr="001656B0">
              <w:rPr>
                <w:rFonts w:ascii="Arial" w:hAnsi="Arial" w:cs="Arial"/>
                <w:sz w:val="22"/>
                <w:szCs w:val="22"/>
              </w:rPr>
              <w:t>socket</w:t>
            </w:r>
            <w:proofErr w:type="spellEnd"/>
            <w:r w:rsidRPr="001656B0">
              <w:rPr>
                <w:rFonts w:ascii="Arial" w:hAnsi="Arial" w:cs="Arial"/>
                <w:sz w:val="22"/>
                <w:szCs w:val="22"/>
              </w:rPr>
              <w:t xml:space="preserve"> procesora, zgodnie z zasadami licencjonowania producenta. Wykonawca ponosi pełną odpowiedzialność za poprawność i kompletność licencjonowania w odniesieniu do deklarowanej liczby procesorów</w:t>
            </w:r>
          </w:p>
        </w:tc>
        <w:tc>
          <w:tcPr>
            <w:tcW w:w="5954" w:type="dxa"/>
          </w:tcPr>
          <w:p w14:paraId="52107941" w14:textId="77777777" w:rsidR="004D64B2" w:rsidRPr="001656B0" w:rsidRDefault="004D64B2" w:rsidP="004D64B2">
            <w:pPr>
              <w:rPr>
                <w:rFonts w:ascii="Arial" w:hAnsi="Arial" w:cs="Arial"/>
                <w:sz w:val="22"/>
                <w:szCs w:val="22"/>
              </w:rPr>
            </w:pPr>
          </w:p>
        </w:tc>
        <w:tc>
          <w:tcPr>
            <w:tcW w:w="1417" w:type="dxa"/>
          </w:tcPr>
          <w:p w14:paraId="5D089A76" w14:textId="77777777" w:rsidR="004D64B2" w:rsidRPr="001656B0" w:rsidRDefault="004D64B2" w:rsidP="004D64B2">
            <w:pPr>
              <w:rPr>
                <w:rFonts w:ascii="Arial" w:hAnsi="Arial" w:cs="Arial"/>
                <w:sz w:val="22"/>
                <w:szCs w:val="22"/>
              </w:rPr>
            </w:pPr>
          </w:p>
        </w:tc>
      </w:tr>
      <w:tr w:rsidR="004D64B2" w14:paraId="26A58C61" w14:textId="77777777" w:rsidTr="004D64B2">
        <w:tc>
          <w:tcPr>
            <w:tcW w:w="460" w:type="dxa"/>
          </w:tcPr>
          <w:p w14:paraId="04391C34" w14:textId="051EB017" w:rsidR="004D64B2" w:rsidRDefault="004D64B2" w:rsidP="004D64B2">
            <w:r>
              <w:t>3</w:t>
            </w:r>
          </w:p>
        </w:tc>
        <w:tc>
          <w:tcPr>
            <w:tcW w:w="5953" w:type="dxa"/>
            <w:tcBorders>
              <w:top w:val="single" w:sz="6" w:space="0" w:color="auto"/>
              <w:left w:val="single" w:sz="6" w:space="0" w:color="auto"/>
              <w:bottom w:val="single" w:sz="6" w:space="0" w:color="auto"/>
              <w:right w:val="single" w:sz="6" w:space="0" w:color="auto"/>
            </w:tcBorders>
            <w:vAlign w:val="center"/>
          </w:tcPr>
          <w:p w14:paraId="1DFBA353" w14:textId="3363A464" w:rsidR="004D64B2" w:rsidRPr="001656B0" w:rsidRDefault="004D64B2" w:rsidP="004D64B2">
            <w:pPr>
              <w:jc w:val="center"/>
              <w:rPr>
                <w:rFonts w:ascii="Arial" w:hAnsi="Arial" w:cs="Arial"/>
                <w:sz w:val="22"/>
                <w:szCs w:val="22"/>
              </w:rPr>
            </w:pPr>
            <w:r w:rsidRPr="001656B0">
              <w:rPr>
                <w:rFonts w:ascii="Arial" w:hAnsi="Arial" w:cs="Arial"/>
                <w:sz w:val="22"/>
                <w:szCs w:val="22"/>
              </w:rPr>
              <w:t>Dostarczone licencje mają być dożywotnie i umożliwiające współpracę z aplikacjami pochodzącymi od dowolnych dostawców - typ FULL USE.</w:t>
            </w:r>
          </w:p>
        </w:tc>
        <w:tc>
          <w:tcPr>
            <w:tcW w:w="5954" w:type="dxa"/>
          </w:tcPr>
          <w:p w14:paraId="59B575FA" w14:textId="77777777" w:rsidR="004D64B2" w:rsidRPr="001656B0" w:rsidRDefault="004D64B2" w:rsidP="004D64B2">
            <w:pPr>
              <w:rPr>
                <w:rFonts w:ascii="Arial" w:hAnsi="Arial" w:cs="Arial"/>
                <w:sz w:val="22"/>
                <w:szCs w:val="22"/>
              </w:rPr>
            </w:pPr>
          </w:p>
        </w:tc>
        <w:tc>
          <w:tcPr>
            <w:tcW w:w="1417" w:type="dxa"/>
          </w:tcPr>
          <w:p w14:paraId="217BD4F5" w14:textId="77777777" w:rsidR="004D64B2" w:rsidRPr="001656B0" w:rsidRDefault="004D64B2" w:rsidP="004D64B2">
            <w:pPr>
              <w:rPr>
                <w:rFonts w:ascii="Arial" w:hAnsi="Arial" w:cs="Arial"/>
                <w:sz w:val="22"/>
                <w:szCs w:val="22"/>
              </w:rPr>
            </w:pPr>
          </w:p>
        </w:tc>
      </w:tr>
      <w:tr w:rsidR="004D64B2" w14:paraId="289B006D" w14:textId="77777777" w:rsidTr="004D64B2">
        <w:tc>
          <w:tcPr>
            <w:tcW w:w="460" w:type="dxa"/>
          </w:tcPr>
          <w:p w14:paraId="4BA1D88C" w14:textId="05561D2E" w:rsidR="004D64B2" w:rsidRDefault="004D64B2" w:rsidP="004D64B2">
            <w:r>
              <w:t>4</w:t>
            </w:r>
          </w:p>
        </w:tc>
        <w:tc>
          <w:tcPr>
            <w:tcW w:w="5953" w:type="dxa"/>
            <w:tcBorders>
              <w:top w:val="single" w:sz="6" w:space="0" w:color="auto"/>
              <w:left w:val="single" w:sz="6" w:space="0" w:color="auto"/>
              <w:bottom w:val="single" w:sz="6" w:space="0" w:color="auto"/>
              <w:right w:val="single" w:sz="6" w:space="0" w:color="auto"/>
            </w:tcBorders>
            <w:vAlign w:val="center"/>
          </w:tcPr>
          <w:p w14:paraId="1AFD3FE3" w14:textId="10A65471" w:rsidR="004D64B2" w:rsidRPr="001656B0" w:rsidRDefault="004D64B2" w:rsidP="004D64B2">
            <w:pPr>
              <w:jc w:val="center"/>
              <w:rPr>
                <w:rFonts w:ascii="Arial" w:hAnsi="Arial" w:cs="Arial"/>
                <w:sz w:val="22"/>
                <w:szCs w:val="22"/>
              </w:rPr>
            </w:pPr>
            <w:r w:rsidRPr="001656B0">
              <w:rPr>
                <w:rFonts w:ascii="Arial" w:hAnsi="Arial" w:cs="Arial"/>
                <w:sz w:val="22"/>
                <w:szCs w:val="22"/>
              </w:rPr>
              <w:t>Dostarczone licencje nie mogą ograniczać liczby użytkowników końcowych korzystających z oprogramowania ani liczby przetwarzanych lub przechowywanych dokumentów, plików, rekordów, żądań, wykorzystywanych systemów dziedzinowych etc. Licencje nie mogą być ograniczone czasowo.</w:t>
            </w:r>
          </w:p>
        </w:tc>
        <w:tc>
          <w:tcPr>
            <w:tcW w:w="5954" w:type="dxa"/>
          </w:tcPr>
          <w:p w14:paraId="0088B6D1" w14:textId="77777777" w:rsidR="004D64B2" w:rsidRPr="001656B0" w:rsidRDefault="004D64B2" w:rsidP="004D64B2">
            <w:pPr>
              <w:rPr>
                <w:rFonts w:ascii="Arial" w:hAnsi="Arial" w:cs="Arial"/>
                <w:sz w:val="22"/>
                <w:szCs w:val="22"/>
              </w:rPr>
            </w:pPr>
          </w:p>
        </w:tc>
        <w:tc>
          <w:tcPr>
            <w:tcW w:w="1417" w:type="dxa"/>
          </w:tcPr>
          <w:p w14:paraId="17DA311E" w14:textId="77777777" w:rsidR="004D64B2" w:rsidRPr="001656B0" w:rsidRDefault="004D64B2" w:rsidP="004D64B2">
            <w:pPr>
              <w:rPr>
                <w:rFonts w:ascii="Arial" w:hAnsi="Arial" w:cs="Arial"/>
                <w:sz w:val="22"/>
                <w:szCs w:val="22"/>
              </w:rPr>
            </w:pPr>
          </w:p>
        </w:tc>
      </w:tr>
      <w:tr w:rsidR="004D64B2" w14:paraId="2E558D81" w14:textId="77777777" w:rsidTr="004D64B2">
        <w:tc>
          <w:tcPr>
            <w:tcW w:w="460" w:type="dxa"/>
          </w:tcPr>
          <w:p w14:paraId="61D0E1A8" w14:textId="53AA1160" w:rsidR="004D64B2" w:rsidRDefault="004D64B2" w:rsidP="004D64B2">
            <w:r>
              <w:lastRenderedPageBreak/>
              <w:t>5</w:t>
            </w:r>
          </w:p>
        </w:tc>
        <w:tc>
          <w:tcPr>
            <w:tcW w:w="5953" w:type="dxa"/>
            <w:tcBorders>
              <w:top w:val="single" w:sz="6" w:space="0" w:color="auto"/>
              <w:left w:val="single" w:sz="6" w:space="0" w:color="auto"/>
              <w:bottom w:val="single" w:sz="6" w:space="0" w:color="auto"/>
              <w:right w:val="single" w:sz="6" w:space="0" w:color="auto"/>
            </w:tcBorders>
            <w:vAlign w:val="center"/>
          </w:tcPr>
          <w:p w14:paraId="256DD807" w14:textId="58022ACC" w:rsidR="004D64B2" w:rsidRPr="001656B0" w:rsidRDefault="004D64B2" w:rsidP="004D64B2">
            <w:pPr>
              <w:jc w:val="center"/>
              <w:rPr>
                <w:rFonts w:ascii="Arial" w:hAnsi="Arial" w:cs="Arial"/>
                <w:sz w:val="22"/>
                <w:szCs w:val="22"/>
              </w:rPr>
            </w:pPr>
            <w:r w:rsidRPr="001656B0">
              <w:rPr>
                <w:rFonts w:ascii="Arial" w:hAnsi="Arial" w:cs="Arial"/>
                <w:sz w:val="22"/>
                <w:szCs w:val="22"/>
              </w:rPr>
              <w:t>Zapewnia dostępność narzędzi migracji baz danych pomiędzy platformami na poziomie fizycznym (kopiowanie / konwersja plików danych) oraz logicznym (narzędzia eksportu / importu).</w:t>
            </w:r>
          </w:p>
        </w:tc>
        <w:tc>
          <w:tcPr>
            <w:tcW w:w="5954" w:type="dxa"/>
          </w:tcPr>
          <w:p w14:paraId="020550E6" w14:textId="77777777" w:rsidR="004D64B2" w:rsidRPr="001656B0" w:rsidRDefault="004D64B2" w:rsidP="004D64B2">
            <w:pPr>
              <w:rPr>
                <w:rFonts w:ascii="Arial" w:hAnsi="Arial" w:cs="Arial"/>
                <w:sz w:val="22"/>
                <w:szCs w:val="22"/>
              </w:rPr>
            </w:pPr>
          </w:p>
        </w:tc>
        <w:tc>
          <w:tcPr>
            <w:tcW w:w="1417" w:type="dxa"/>
          </w:tcPr>
          <w:p w14:paraId="20FD3E8E" w14:textId="77777777" w:rsidR="004D64B2" w:rsidRPr="001656B0" w:rsidRDefault="004D64B2" w:rsidP="004D64B2">
            <w:pPr>
              <w:rPr>
                <w:rFonts w:ascii="Arial" w:hAnsi="Arial" w:cs="Arial"/>
                <w:sz w:val="22"/>
                <w:szCs w:val="22"/>
              </w:rPr>
            </w:pPr>
          </w:p>
        </w:tc>
      </w:tr>
      <w:tr w:rsidR="004D64B2" w14:paraId="3A844752" w14:textId="77777777" w:rsidTr="004D64B2">
        <w:tc>
          <w:tcPr>
            <w:tcW w:w="460" w:type="dxa"/>
          </w:tcPr>
          <w:p w14:paraId="3B60B970" w14:textId="3E697B66" w:rsidR="004D64B2" w:rsidRDefault="004D64B2" w:rsidP="004D64B2">
            <w:r>
              <w:t>6</w:t>
            </w:r>
          </w:p>
        </w:tc>
        <w:tc>
          <w:tcPr>
            <w:tcW w:w="5953" w:type="dxa"/>
            <w:tcBorders>
              <w:top w:val="single" w:sz="6" w:space="0" w:color="auto"/>
              <w:left w:val="single" w:sz="6" w:space="0" w:color="auto"/>
              <w:bottom w:val="single" w:sz="6" w:space="0" w:color="auto"/>
              <w:right w:val="single" w:sz="6" w:space="0" w:color="auto"/>
            </w:tcBorders>
            <w:vAlign w:val="center"/>
          </w:tcPr>
          <w:p w14:paraId="08B6E29F" w14:textId="6630B357" w:rsidR="004D64B2" w:rsidRPr="001656B0" w:rsidRDefault="004D64B2" w:rsidP="004D64B2">
            <w:pPr>
              <w:jc w:val="center"/>
              <w:rPr>
                <w:rFonts w:ascii="Arial" w:hAnsi="Arial" w:cs="Arial"/>
                <w:sz w:val="22"/>
                <w:szCs w:val="22"/>
              </w:rPr>
            </w:pPr>
            <w:r w:rsidRPr="001656B0">
              <w:rPr>
                <w:rFonts w:ascii="Arial" w:hAnsi="Arial" w:cs="Arial"/>
                <w:sz w:val="22"/>
                <w:szCs w:val="22"/>
              </w:rPr>
              <w:t>Zapewnia wsparcie protokołu XA.</w:t>
            </w:r>
          </w:p>
        </w:tc>
        <w:tc>
          <w:tcPr>
            <w:tcW w:w="5954" w:type="dxa"/>
          </w:tcPr>
          <w:p w14:paraId="6B209493" w14:textId="77777777" w:rsidR="004D64B2" w:rsidRPr="001656B0" w:rsidRDefault="004D64B2" w:rsidP="004D64B2">
            <w:pPr>
              <w:rPr>
                <w:rFonts w:ascii="Arial" w:hAnsi="Arial" w:cs="Arial"/>
                <w:sz w:val="22"/>
                <w:szCs w:val="22"/>
              </w:rPr>
            </w:pPr>
          </w:p>
        </w:tc>
        <w:tc>
          <w:tcPr>
            <w:tcW w:w="1417" w:type="dxa"/>
          </w:tcPr>
          <w:p w14:paraId="5BF0A8B0" w14:textId="77777777" w:rsidR="004D64B2" w:rsidRPr="001656B0" w:rsidRDefault="004D64B2" w:rsidP="004D64B2">
            <w:pPr>
              <w:rPr>
                <w:rFonts w:ascii="Arial" w:hAnsi="Arial" w:cs="Arial"/>
                <w:sz w:val="22"/>
                <w:szCs w:val="22"/>
              </w:rPr>
            </w:pPr>
          </w:p>
        </w:tc>
      </w:tr>
      <w:tr w:rsidR="004D64B2" w14:paraId="182B7655" w14:textId="77777777" w:rsidTr="004D64B2">
        <w:tc>
          <w:tcPr>
            <w:tcW w:w="460" w:type="dxa"/>
          </w:tcPr>
          <w:p w14:paraId="4232BF34" w14:textId="6FAFC4A1" w:rsidR="004D64B2" w:rsidRDefault="004D64B2" w:rsidP="004D64B2">
            <w:r>
              <w:t>7</w:t>
            </w:r>
          </w:p>
        </w:tc>
        <w:tc>
          <w:tcPr>
            <w:tcW w:w="5953" w:type="dxa"/>
            <w:tcBorders>
              <w:top w:val="single" w:sz="6" w:space="0" w:color="auto"/>
              <w:left w:val="single" w:sz="6" w:space="0" w:color="auto"/>
              <w:bottom w:val="single" w:sz="6" w:space="0" w:color="auto"/>
              <w:right w:val="single" w:sz="6" w:space="0" w:color="auto"/>
            </w:tcBorders>
            <w:vAlign w:val="center"/>
          </w:tcPr>
          <w:p w14:paraId="2FDE0050" w14:textId="755D0BA3" w:rsidR="004D64B2" w:rsidRPr="001656B0" w:rsidRDefault="004D64B2" w:rsidP="004D64B2">
            <w:pPr>
              <w:jc w:val="center"/>
              <w:rPr>
                <w:rFonts w:ascii="Arial" w:hAnsi="Arial" w:cs="Arial"/>
                <w:sz w:val="22"/>
                <w:szCs w:val="22"/>
              </w:rPr>
            </w:pPr>
            <w:r w:rsidRPr="001656B0">
              <w:rPr>
                <w:rFonts w:ascii="Arial" w:hAnsi="Arial" w:cs="Arial"/>
                <w:sz w:val="22"/>
                <w:szCs w:val="22"/>
              </w:rPr>
              <w:t>Zapewnia wsparcie standardu JDBC 3.0.</w:t>
            </w:r>
          </w:p>
        </w:tc>
        <w:tc>
          <w:tcPr>
            <w:tcW w:w="5954" w:type="dxa"/>
          </w:tcPr>
          <w:p w14:paraId="72BECF68" w14:textId="77777777" w:rsidR="004D64B2" w:rsidRPr="001656B0" w:rsidRDefault="004D64B2" w:rsidP="004D64B2">
            <w:pPr>
              <w:rPr>
                <w:rFonts w:ascii="Arial" w:hAnsi="Arial" w:cs="Arial"/>
                <w:sz w:val="22"/>
                <w:szCs w:val="22"/>
              </w:rPr>
            </w:pPr>
          </w:p>
        </w:tc>
        <w:tc>
          <w:tcPr>
            <w:tcW w:w="1417" w:type="dxa"/>
          </w:tcPr>
          <w:p w14:paraId="1D27BA86" w14:textId="77777777" w:rsidR="004D64B2" w:rsidRPr="001656B0" w:rsidRDefault="004D64B2" w:rsidP="004D64B2">
            <w:pPr>
              <w:rPr>
                <w:rFonts w:ascii="Arial" w:hAnsi="Arial" w:cs="Arial"/>
                <w:sz w:val="22"/>
                <w:szCs w:val="22"/>
              </w:rPr>
            </w:pPr>
          </w:p>
        </w:tc>
      </w:tr>
      <w:tr w:rsidR="004D64B2" w14:paraId="495D6D09" w14:textId="77777777" w:rsidTr="004D64B2">
        <w:tc>
          <w:tcPr>
            <w:tcW w:w="460" w:type="dxa"/>
          </w:tcPr>
          <w:p w14:paraId="591610DB" w14:textId="451746C1" w:rsidR="004D64B2" w:rsidRDefault="004D64B2" w:rsidP="004D64B2">
            <w:r>
              <w:t>8</w:t>
            </w:r>
          </w:p>
        </w:tc>
        <w:tc>
          <w:tcPr>
            <w:tcW w:w="5953" w:type="dxa"/>
            <w:tcBorders>
              <w:top w:val="single" w:sz="6" w:space="0" w:color="auto"/>
              <w:left w:val="single" w:sz="6" w:space="0" w:color="auto"/>
              <w:bottom w:val="single" w:sz="6" w:space="0" w:color="auto"/>
              <w:right w:val="single" w:sz="6" w:space="0" w:color="auto"/>
            </w:tcBorders>
            <w:vAlign w:val="center"/>
          </w:tcPr>
          <w:p w14:paraId="3E91903A" w14:textId="0D944FCC" w:rsidR="004D64B2" w:rsidRPr="001656B0" w:rsidRDefault="004D64B2" w:rsidP="004D64B2">
            <w:pPr>
              <w:jc w:val="center"/>
              <w:rPr>
                <w:rFonts w:ascii="Arial" w:hAnsi="Arial" w:cs="Arial"/>
                <w:sz w:val="22"/>
                <w:szCs w:val="22"/>
              </w:rPr>
            </w:pPr>
            <w:r w:rsidRPr="001656B0">
              <w:rPr>
                <w:rFonts w:ascii="Arial" w:hAnsi="Arial" w:cs="Arial"/>
                <w:sz w:val="22"/>
                <w:szCs w:val="22"/>
              </w:rPr>
              <w:t>Jest zgodne ze standardem ANSI/ISO SQL 2003 lub nowszym.</w:t>
            </w:r>
          </w:p>
        </w:tc>
        <w:tc>
          <w:tcPr>
            <w:tcW w:w="5954" w:type="dxa"/>
          </w:tcPr>
          <w:p w14:paraId="7156E5C5" w14:textId="77777777" w:rsidR="004D64B2" w:rsidRPr="001656B0" w:rsidRDefault="004D64B2" w:rsidP="004D64B2">
            <w:pPr>
              <w:rPr>
                <w:rFonts w:ascii="Arial" w:hAnsi="Arial" w:cs="Arial"/>
                <w:sz w:val="22"/>
                <w:szCs w:val="22"/>
              </w:rPr>
            </w:pPr>
          </w:p>
        </w:tc>
        <w:tc>
          <w:tcPr>
            <w:tcW w:w="1417" w:type="dxa"/>
          </w:tcPr>
          <w:p w14:paraId="2DB9BB91" w14:textId="77777777" w:rsidR="004D64B2" w:rsidRPr="001656B0" w:rsidRDefault="004D64B2" w:rsidP="004D64B2">
            <w:pPr>
              <w:rPr>
                <w:rFonts w:ascii="Arial" w:hAnsi="Arial" w:cs="Arial"/>
                <w:sz w:val="22"/>
                <w:szCs w:val="22"/>
              </w:rPr>
            </w:pPr>
          </w:p>
        </w:tc>
      </w:tr>
      <w:tr w:rsidR="004D64B2" w14:paraId="358EEDEA" w14:textId="77777777" w:rsidTr="004D64B2">
        <w:tc>
          <w:tcPr>
            <w:tcW w:w="460" w:type="dxa"/>
          </w:tcPr>
          <w:p w14:paraId="05653E48" w14:textId="2902341B" w:rsidR="004D64B2" w:rsidRDefault="004D64B2" w:rsidP="004D64B2">
            <w:r>
              <w:t>9</w:t>
            </w:r>
          </w:p>
        </w:tc>
        <w:tc>
          <w:tcPr>
            <w:tcW w:w="5953" w:type="dxa"/>
            <w:tcBorders>
              <w:top w:val="single" w:sz="6" w:space="0" w:color="auto"/>
              <w:left w:val="single" w:sz="6" w:space="0" w:color="auto"/>
              <w:bottom w:val="single" w:sz="6" w:space="0" w:color="auto"/>
              <w:right w:val="single" w:sz="6" w:space="0" w:color="auto"/>
            </w:tcBorders>
            <w:vAlign w:val="center"/>
          </w:tcPr>
          <w:p w14:paraId="1812F1F4" w14:textId="0DC60806" w:rsidR="004D64B2" w:rsidRPr="001656B0" w:rsidRDefault="004D64B2" w:rsidP="004D64B2">
            <w:pPr>
              <w:jc w:val="center"/>
              <w:rPr>
                <w:rFonts w:ascii="Arial" w:hAnsi="Arial" w:cs="Arial"/>
                <w:sz w:val="22"/>
                <w:szCs w:val="22"/>
              </w:rPr>
            </w:pPr>
            <w:r w:rsidRPr="001656B0">
              <w:rPr>
                <w:rFonts w:ascii="Arial" w:hAnsi="Arial" w:cs="Arial"/>
                <w:sz w:val="22"/>
                <w:szCs w:val="22"/>
              </w:rPr>
              <w:t>Wbudowana obsługa wyrażeń regularnych zgodna ze standardem POSIX dostępna z poziomu języka SQL jak i procedur/funkcji składowanych w bazie danych.</w:t>
            </w:r>
          </w:p>
        </w:tc>
        <w:tc>
          <w:tcPr>
            <w:tcW w:w="5954" w:type="dxa"/>
          </w:tcPr>
          <w:p w14:paraId="29D8CE0C" w14:textId="77777777" w:rsidR="004D64B2" w:rsidRPr="001656B0" w:rsidRDefault="004D64B2" w:rsidP="004D64B2">
            <w:pPr>
              <w:rPr>
                <w:rFonts w:ascii="Arial" w:hAnsi="Arial" w:cs="Arial"/>
                <w:sz w:val="22"/>
                <w:szCs w:val="22"/>
              </w:rPr>
            </w:pPr>
          </w:p>
        </w:tc>
        <w:tc>
          <w:tcPr>
            <w:tcW w:w="1417" w:type="dxa"/>
          </w:tcPr>
          <w:p w14:paraId="7D6562DF" w14:textId="77777777" w:rsidR="004D64B2" w:rsidRPr="001656B0" w:rsidRDefault="004D64B2" w:rsidP="004D64B2">
            <w:pPr>
              <w:rPr>
                <w:rFonts w:ascii="Arial" w:hAnsi="Arial" w:cs="Arial"/>
                <w:sz w:val="22"/>
                <w:szCs w:val="22"/>
              </w:rPr>
            </w:pPr>
          </w:p>
        </w:tc>
      </w:tr>
      <w:tr w:rsidR="004D64B2" w14:paraId="60AB3AF4" w14:textId="77777777" w:rsidTr="004D64B2">
        <w:tc>
          <w:tcPr>
            <w:tcW w:w="460" w:type="dxa"/>
          </w:tcPr>
          <w:p w14:paraId="08C1C4F8" w14:textId="0C834F3D" w:rsidR="004D64B2" w:rsidRDefault="004D64B2" w:rsidP="004D64B2">
            <w:r>
              <w:t>10</w:t>
            </w:r>
          </w:p>
        </w:tc>
        <w:tc>
          <w:tcPr>
            <w:tcW w:w="5953" w:type="dxa"/>
            <w:tcBorders>
              <w:top w:val="single" w:sz="6" w:space="0" w:color="auto"/>
              <w:left w:val="single" w:sz="6" w:space="0" w:color="auto"/>
              <w:bottom w:val="single" w:sz="6" w:space="0" w:color="auto"/>
              <w:right w:val="single" w:sz="6" w:space="0" w:color="auto"/>
            </w:tcBorders>
            <w:vAlign w:val="center"/>
          </w:tcPr>
          <w:p w14:paraId="0CAE1458" w14:textId="012E8987" w:rsidR="004D64B2" w:rsidRPr="001656B0" w:rsidRDefault="004D64B2" w:rsidP="004D64B2">
            <w:pPr>
              <w:jc w:val="center"/>
              <w:rPr>
                <w:rFonts w:ascii="Arial" w:hAnsi="Arial" w:cs="Arial"/>
                <w:sz w:val="22"/>
                <w:szCs w:val="22"/>
              </w:rPr>
            </w:pPr>
            <w:r w:rsidRPr="001656B0">
              <w:rPr>
                <w:rFonts w:ascii="Arial" w:hAnsi="Arial" w:cs="Arial"/>
                <w:sz w:val="22"/>
                <w:szCs w:val="22"/>
              </w:rPr>
              <w:t>RDBMS musi zapewniać niezależność platformy systemowej dla oprogramowania klienckiego od platformy systemowej bazy danych.</w:t>
            </w:r>
          </w:p>
        </w:tc>
        <w:tc>
          <w:tcPr>
            <w:tcW w:w="5954" w:type="dxa"/>
          </w:tcPr>
          <w:p w14:paraId="0D4F3AEE" w14:textId="77777777" w:rsidR="004D64B2" w:rsidRPr="001656B0" w:rsidRDefault="004D64B2" w:rsidP="004D64B2">
            <w:pPr>
              <w:rPr>
                <w:rFonts w:ascii="Arial" w:hAnsi="Arial" w:cs="Arial"/>
                <w:sz w:val="22"/>
                <w:szCs w:val="22"/>
              </w:rPr>
            </w:pPr>
          </w:p>
        </w:tc>
        <w:tc>
          <w:tcPr>
            <w:tcW w:w="1417" w:type="dxa"/>
          </w:tcPr>
          <w:p w14:paraId="33947076" w14:textId="77777777" w:rsidR="004D64B2" w:rsidRPr="001656B0" w:rsidRDefault="004D64B2" w:rsidP="004D64B2">
            <w:pPr>
              <w:rPr>
                <w:rFonts w:ascii="Arial" w:hAnsi="Arial" w:cs="Arial"/>
                <w:sz w:val="22"/>
                <w:szCs w:val="22"/>
              </w:rPr>
            </w:pPr>
          </w:p>
        </w:tc>
      </w:tr>
      <w:tr w:rsidR="004D64B2" w14:paraId="03AD7352" w14:textId="77777777" w:rsidTr="004D64B2">
        <w:tc>
          <w:tcPr>
            <w:tcW w:w="460" w:type="dxa"/>
          </w:tcPr>
          <w:p w14:paraId="158637C4" w14:textId="63C993A3" w:rsidR="004D64B2" w:rsidRDefault="004D64B2" w:rsidP="004D64B2">
            <w:r>
              <w:t>11</w:t>
            </w:r>
          </w:p>
        </w:tc>
        <w:tc>
          <w:tcPr>
            <w:tcW w:w="5953" w:type="dxa"/>
            <w:tcBorders>
              <w:top w:val="single" w:sz="6" w:space="0" w:color="auto"/>
              <w:left w:val="single" w:sz="6" w:space="0" w:color="auto"/>
              <w:bottom w:val="single" w:sz="6" w:space="0" w:color="auto"/>
              <w:right w:val="single" w:sz="6" w:space="0" w:color="auto"/>
            </w:tcBorders>
            <w:vAlign w:val="center"/>
          </w:tcPr>
          <w:p w14:paraId="5916268E" w14:textId="715EAE1F" w:rsidR="004D64B2" w:rsidRPr="001656B0" w:rsidRDefault="004D64B2" w:rsidP="004D64B2">
            <w:pPr>
              <w:jc w:val="center"/>
              <w:rPr>
                <w:rFonts w:ascii="Arial" w:hAnsi="Arial" w:cs="Arial"/>
                <w:sz w:val="22"/>
                <w:szCs w:val="22"/>
              </w:rPr>
            </w:pPr>
            <w:r w:rsidRPr="001656B0">
              <w:rPr>
                <w:rFonts w:ascii="Arial" w:hAnsi="Arial" w:cs="Arial"/>
                <w:sz w:val="22"/>
                <w:szCs w:val="22"/>
              </w:rPr>
              <w:t>RDBMS musi zapewniać przetwarzanie transakcyjne wg reguł ACID z zachowaniem spójności i maksymalnego możliwego stopnia współbieżności. Mechanizm izolowania transakcji musi pozwalać na spójny odczyt modyfikowanego obszaru danych bez wprowadzania blokad, spójny odczyt nie może blokować możliwości wykonywania zmian.</w:t>
            </w:r>
          </w:p>
        </w:tc>
        <w:tc>
          <w:tcPr>
            <w:tcW w:w="5954" w:type="dxa"/>
          </w:tcPr>
          <w:p w14:paraId="41D1F2F2" w14:textId="77777777" w:rsidR="004D64B2" w:rsidRPr="001656B0" w:rsidRDefault="004D64B2" w:rsidP="004D64B2">
            <w:pPr>
              <w:rPr>
                <w:rFonts w:ascii="Arial" w:hAnsi="Arial" w:cs="Arial"/>
                <w:sz w:val="22"/>
                <w:szCs w:val="22"/>
              </w:rPr>
            </w:pPr>
          </w:p>
        </w:tc>
        <w:tc>
          <w:tcPr>
            <w:tcW w:w="1417" w:type="dxa"/>
          </w:tcPr>
          <w:p w14:paraId="2E621431" w14:textId="77777777" w:rsidR="004D64B2" w:rsidRPr="001656B0" w:rsidRDefault="004D64B2" w:rsidP="004D64B2">
            <w:pPr>
              <w:rPr>
                <w:rFonts w:ascii="Arial" w:hAnsi="Arial" w:cs="Arial"/>
                <w:sz w:val="22"/>
                <w:szCs w:val="22"/>
              </w:rPr>
            </w:pPr>
          </w:p>
        </w:tc>
      </w:tr>
      <w:tr w:rsidR="004D64B2" w14:paraId="49A536CC" w14:textId="77777777" w:rsidTr="004D64B2">
        <w:tc>
          <w:tcPr>
            <w:tcW w:w="460" w:type="dxa"/>
          </w:tcPr>
          <w:p w14:paraId="7C6C33BB" w14:textId="5B2DDB62" w:rsidR="004D64B2" w:rsidRDefault="004D64B2" w:rsidP="004D64B2">
            <w:r>
              <w:t>12</w:t>
            </w:r>
          </w:p>
        </w:tc>
        <w:tc>
          <w:tcPr>
            <w:tcW w:w="5953" w:type="dxa"/>
            <w:tcBorders>
              <w:top w:val="single" w:sz="6" w:space="0" w:color="auto"/>
              <w:left w:val="single" w:sz="6" w:space="0" w:color="auto"/>
              <w:bottom w:val="single" w:sz="6" w:space="0" w:color="auto"/>
              <w:right w:val="single" w:sz="6" w:space="0" w:color="auto"/>
            </w:tcBorders>
            <w:vAlign w:val="center"/>
          </w:tcPr>
          <w:p w14:paraId="5E098079" w14:textId="584AD04D" w:rsidR="004D64B2" w:rsidRPr="001656B0" w:rsidRDefault="004D64B2" w:rsidP="004D64B2">
            <w:pPr>
              <w:jc w:val="center"/>
              <w:rPr>
                <w:rFonts w:ascii="Arial" w:hAnsi="Arial" w:cs="Arial"/>
                <w:sz w:val="22"/>
                <w:szCs w:val="22"/>
              </w:rPr>
            </w:pPr>
            <w:r w:rsidRPr="001656B0">
              <w:rPr>
                <w:rFonts w:ascii="Arial" w:hAnsi="Arial" w:cs="Arial"/>
                <w:sz w:val="22"/>
                <w:szCs w:val="22"/>
              </w:rPr>
              <w:t>RDBMS musi posiadać możliwość zagnieżdżania transakcji – możliwość uruchomienia niezależnej transakcji wewnątrz transakcji nadrzędnej.</w:t>
            </w:r>
          </w:p>
        </w:tc>
        <w:tc>
          <w:tcPr>
            <w:tcW w:w="5954" w:type="dxa"/>
          </w:tcPr>
          <w:p w14:paraId="2D927F65" w14:textId="77777777" w:rsidR="004D64B2" w:rsidRPr="001656B0" w:rsidRDefault="004D64B2" w:rsidP="004D64B2">
            <w:pPr>
              <w:rPr>
                <w:rFonts w:ascii="Arial" w:hAnsi="Arial" w:cs="Arial"/>
                <w:sz w:val="22"/>
                <w:szCs w:val="22"/>
              </w:rPr>
            </w:pPr>
          </w:p>
        </w:tc>
        <w:tc>
          <w:tcPr>
            <w:tcW w:w="1417" w:type="dxa"/>
          </w:tcPr>
          <w:p w14:paraId="682E0C92" w14:textId="77777777" w:rsidR="004D64B2" w:rsidRPr="001656B0" w:rsidRDefault="004D64B2" w:rsidP="004D64B2">
            <w:pPr>
              <w:rPr>
                <w:rFonts w:ascii="Arial" w:hAnsi="Arial" w:cs="Arial"/>
                <w:sz w:val="22"/>
                <w:szCs w:val="22"/>
              </w:rPr>
            </w:pPr>
          </w:p>
        </w:tc>
      </w:tr>
      <w:tr w:rsidR="004D64B2" w14:paraId="61EC8C34" w14:textId="77777777" w:rsidTr="004D64B2">
        <w:tc>
          <w:tcPr>
            <w:tcW w:w="460" w:type="dxa"/>
          </w:tcPr>
          <w:p w14:paraId="7018CC73" w14:textId="60D11C79" w:rsidR="004D64B2" w:rsidRDefault="004D64B2" w:rsidP="004D64B2">
            <w:r>
              <w:t>13</w:t>
            </w:r>
          </w:p>
        </w:tc>
        <w:tc>
          <w:tcPr>
            <w:tcW w:w="5953" w:type="dxa"/>
            <w:tcBorders>
              <w:top w:val="single" w:sz="6" w:space="0" w:color="auto"/>
              <w:left w:val="single" w:sz="6" w:space="0" w:color="auto"/>
              <w:bottom w:val="single" w:sz="6" w:space="0" w:color="auto"/>
              <w:right w:val="single" w:sz="6" w:space="0" w:color="auto"/>
            </w:tcBorders>
            <w:vAlign w:val="center"/>
          </w:tcPr>
          <w:p w14:paraId="02684E51" w14:textId="4925F4B6"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Dostępność nieblokującego poziomu izolowania transakcji „tylko do odczytu” (Read </w:t>
            </w:r>
            <w:proofErr w:type="spellStart"/>
            <w:r w:rsidRPr="001656B0">
              <w:rPr>
                <w:rFonts w:ascii="Arial" w:hAnsi="Arial" w:cs="Arial"/>
                <w:sz w:val="22"/>
                <w:szCs w:val="22"/>
              </w:rPr>
              <w:t>Only</w:t>
            </w:r>
            <w:proofErr w:type="spellEnd"/>
            <w:r w:rsidRPr="001656B0">
              <w:rPr>
                <w:rFonts w:ascii="Arial" w:hAnsi="Arial" w:cs="Arial"/>
                <w:sz w:val="22"/>
                <w:szCs w:val="22"/>
              </w:rPr>
              <w:t>) pozwalający na uzyskanie w wielu kolejnych następujących po sobie zapytaniach rezultatów odzwierciedlających stan danych z chwili rozpoczęcia ww. transakcji.</w:t>
            </w:r>
          </w:p>
        </w:tc>
        <w:tc>
          <w:tcPr>
            <w:tcW w:w="5954" w:type="dxa"/>
          </w:tcPr>
          <w:p w14:paraId="76913AAF" w14:textId="77777777" w:rsidR="004D64B2" w:rsidRPr="001656B0" w:rsidRDefault="004D64B2" w:rsidP="004D64B2">
            <w:pPr>
              <w:rPr>
                <w:rFonts w:ascii="Arial" w:hAnsi="Arial" w:cs="Arial"/>
                <w:sz w:val="22"/>
                <w:szCs w:val="22"/>
              </w:rPr>
            </w:pPr>
          </w:p>
        </w:tc>
        <w:tc>
          <w:tcPr>
            <w:tcW w:w="1417" w:type="dxa"/>
          </w:tcPr>
          <w:p w14:paraId="3C8553CC" w14:textId="77777777" w:rsidR="004D64B2" w:rsidRPr="001656B0" w:rsidRDefault="004D64B2" w:rsidP="004D64B2">
            <w:pPr>
              <w:rPr>
                <w:rFonts w:ascii="Arial" w:hAnsi="Arial" w:cs="Arial"/>
                <w:sz w:val="22"/>
                <w:szCs w:val="22"/>
              </w:rPr>
            </w:pPr>
          </w:p>
        </w:tc>
      </w:tr>
      <w:tr w:rsidR="004D64B2" w14:paraId="13BAD7BA" w14:textId="77777777" w:rsidTr="004D64B2">
        <w:tc>
          <w:tcPr>
            <w:tcW w:w="460" w:type="dxa"/>
          </w:tcPr>
          <w:p w14:paraId="6186AE34" w14:textId="5921E7ED" w:rsidR="004D64B2" w:rsidRDefault="004D64B2" w:rsidP="004D64B2">
            <w:r>
              <w:t>14</w:t>
            </w:r>
          </w:p>
        </w:tc>
        <w:tc>
          <w:tcPr>
            <w:tcW w:w="5953" w:type="dxa"/>
            <w:tcBorders>
              <w:top w:val="single" w:sz="6" w:space="0" w:color="auto"/>
              <w:left w:val="single" w:sz="6" w:space="0" w:color="auto"/>
              <w:bottom w:val="single" w:sz="6" w:space="0" w:color="auto"/>
              <w:right w:val="single" w:sz="6" w:space="0" w:color="auto"/>
            </w:tcBorders>
            <w:vAlign w:val="center"/>
          </w:tcPr>
          <w:p w14:paraId="06D5F7BB" w14:textId="5029C2AF"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Dostępność poziomu </w:t>
            </w:r>
            <w:proofErr w:type="spellStart"/>
            <w:r w:rsidRPr="001656B0">
              <w:rPr>
                <w:rFonts w:ascii="Arial" w:hAnsi="Arial" w:cs="Arial"/>
                <w:sz w:val="22"/>
                <w:szCs w:val="22"/>
              </w:rPr>
              <w:t>serializowanego</w:t>
            </w:r>
            <w:proofErr w:type="spellEnd"/>
            <w:r w:rsidRPr="001656B0">
              <w:rPr>
                <w:rFonts w:ascii="Arial" w:hAnsi="Arial" w:cs="Arial"/>
                <w:sz w:val="22"/>
                <w:szCs w:val="22"/>
              </w:rPr>
              <w:t xml:space="preserve"> poziomu izolowania transakcji (</w:t>
            </w:r>
            <w:proofErr w:type="spellStart"/>
            <w:r w:rsidRPr="001656B0">
              <w:rPr>
                <w:rFonts w:ascii="Arial" w:hAnsi="Arial" w:cs="Arial"/>
                <w:sz w:val="22"/>
                <w:szCs w:val="22"/>
              </w:rPr>
              <w:t>Serializable</w:t>
            </w:r>
            <w:proofErr w:type="spellEnd"/>
            <w:r w:rsidRPr="001656B0">
              <w:rPr>
                <w:rFonts w:ascii="Arial" w:hAnsi="Arial" w:cs="Arial"/>
                <w:sz w:val="22"/>
                <w:szCs w:val="22"/>
              </w:rPr>
              <w:t>).</w:t>
            </w:r>
          </w:p>
        </w:tc>
        <w:tc>
          <w:tcPr>
            <w:tcW w:w="5954" w:type="dxa"/>
          </w:tcPr>
          <w:p w14:paraId="598D778E" w14:textId="77777777" w:rsidR="004D64B2" w:rsidRPr="001656B0" w:rsidRDefault="004D64B2" w:rsidP="004D64B2">
            <w:pPr>
              <w:rPr>
                <w:rFonts w:ascii="Arial" w:hAnsi="Arial" w:cs="Arial"/>
                <w:sz w:val="22"/>
                <w:szCs w:val="22"/>
              </w:rPr>
            </w:pPr>
          </w:p>
        </w:tc>
        <w:tc>
          <w:tcPr>
            <w:tcW w:w="1417" w:type="dxa"/>
          </w:tcPr>
          <w:p w14:paraId="23306C63" w14:textId="77777777" w:rsidR="004D64B2" w:rsidRPr="001656B0" w:rsidRDefault="004D64B2" w:rsidP="004D64B2">
            <w:pPr>
              <w:rPr>
                <w:rFonts w:ascii="Arial" w:hAnsi="Arial" w:cs="Arial"/>
                <w:sz w:val="22"/>
                <w:szCs w:val="22"/>
              </w:rPr>
            </w:pPr>
          </w:p>
        </w:tc>
      </w:tr>
      <w:tr w:rsidR="004D64B2" w14:paraId="6F47F547" w14:textId="77777777" w:rsidTr="004D64B2">
        <w:tc>
          <w:tcPr>
            <w:tcW w:w="460" w:type="dxa"/>
          </w:tcPr>
          <w:p w14:paraId="32FBF816" w14:textId="076BFD56" w:rsidR="004D64B2" w:rsidRDefault="004D64B2" w:rsidP="004D64B2">
            <w:r>
              <w:lastRenderedPageBreak/>
              <w:t>15</w:t>
            </w:r>
          </w:p>
        </w:tc>
        <w:tc>
          <w:tcPr>
            <w:tcW w:w="5953" w:type="dxa"/>
            <w:tcBorders>
              <w:top w:val="single" w:sz="6" w:space="0" w:color="auto"/>
              <w:left w:val="single" w:sz="6" w:space="0" w:color="auto"/>
              <w:bottom w:val="single" w:sz="6" w:space="0" w:color="auto"/>
              <w:right w:val="single" w:sz="6" w:space="0" w:color="auto"/>
            </w:tcBorders>
            <w:vAlign w:val="center"/>
          </w:tcPr>
          <w:p w14:paraId="07694268" w14:textId="6D1E81DF"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Możliwość zmiany domyślnego trybu izolowania transakcji (Read </w:t>
            </w:r>
            <w:proofErr w:type="spellStart"/>
            <w:r w:rsidRPr="001656B0">
              <w:rPr>
                <w:rFonts w:ascii="Arial" w:hAnsi="Arial" w:cs="Arial"/>
                <w:sz w:val="22"/>
                <w:szCs w:val="22"/>
              </w:rPr>
              <w:t>Commited</w:t>
            </w:r>
            <w:proofErr w:type="spellEnd"/>
            <w:r w:rsidRPr="001656B0">
              <w:rPr>
                <w:rFonts w:ascii="Arial" w:hAnsi="Arial" w:cs="Arial"/>
                <w:sz w:val="22"/>
                <w:szCs w:val="22"/>
              </w:rPr>
              <w:t xml:space="preserve">) na inny (Read </w:t>
            </w:r>
            <w:proofErr w:type="spellStart"/>
            <w:r w:rsidRPr="001656B0">
              <w:rPr>
                <w:rFonts w:ascii="Arial" w:hAnsi="Arial" w:cs="Arial"/>
                <w:sz w:val="22"/>
                <w:szCs w:val="22"/>
              </w:rPr>
              <w:t>Only</w:t>
            </w:r>
            <w:proofErr w:type="spellEnd"/>
            <w:r w:rsidRPr="001656B0">
              <w:rPr>
                <w:rFonts w:ascii="Arial" w:hAnsi="Arial" w:cs="Arial"/>
                <w:sz w:val="22"/>
                <w:szCs w:val="22"/>
              </w:rPr>
              <w:t xml:space="preserve">, </w:t>
            </w:r>
            <w:proofErr w:type="spellStart"/>
            <w:r w:rsidRPr="001656B0">
              <w:rPr>
                <w:rFonts w:ascii="Arial" w:hAnsi="Arial" w:cs="Arial"/>
                <w:sz w:val="22"/>
                <w:szCs w:val="22"/>
              </w:rPr>
              <w:t>Serializable</w:t>
            </w:r>
            <w:proofErr w:type="spellEnd"/>
            <w:r w:rsidRPr="001656B0">
              <w:rPr>
                <w:rFonts w:ascii="Arial" w:hAnsi="Arial" w:cs="Arial"/>
                <w:sz w:val="22"/>
                <w:szCs w:val="22"/>
              </w:rPr>
              <w:t>) za pomocą komend serwera bazy danych.</w:t>
            </w:r>
          </w:p>
        </w:tc>
        <w:tc>
          <w:tcPr>
            <w:tcW w:w="5954" w:type="dxa"/>
          </w:tcPr>
          <w:p w14:paraId="6C253E29" w14:textId="77777777" w:rsidR="004D64B2" w:rsidRPr="001656B0" w:rsidRDefault="004D64B2" w:rsidP="004D64B2">
            <w:pPr>
              <w:rPr>
                <w:rFonts w:ascii="Arial" w:hAnsi="Arial" w:cs="Arial"/>
                <w:sz w:val="22"/>
                <w:szCs w:val="22"/>
              </w:rPr>
            </w:pPr>
          </w:p>
        </w:tc>
        <w:tc>
          <w:tcPr>
            <w:tcW w:w="1417" w:type="dxa"/>
          </w:tcPr>
          <w:p w14:paraId="6BCE9571" w14:textId="77777777" w:rsidR="004D64B2" w:rsidRPr="001656B0" w:rsidRDefault="004D64B2" w:rsidP="004D64B2">
            <w:pPr>
              <w:rPr>
                <w:rFonts w:ascii="Arial" w:hAnsi="Arial" w:cs="Arial"/>
                <w:sz w:val="22"/>
                <w:szCs w:val="22"/>
              </w:rPr>
            </w:pPr>
          </w:p>
        </w:tc>
      </w:tr>
      <w:tr w:rsidR="004D64B2" w14:paraId="20D4E410" w14:textId="77777777" w:rsidTr="004D64B2">
        <w:tc>
          <w:tcPr>
            <w:tcW w:w="460" w:type="dxa"/>
          </w:tcPr>
          <w:p w14:paraId="164FCE70" w14:textId="0EF476E9" w:rsidR="004D64B2" w:rsidRDefault="004D64B2" w:rsidP="004D64B2">
            <w:r>
              <w:t>16</w:t>
            </w:r>
          </w:p>
        </w:tc>
        <w:tc>
          <w:tcPr>
            <w:tcW w:w="5953" w:type="dxa"/>
            <w:tcBorders>
              <w:top w:val="single" w:sz="6" w:space="0" w:color="auto"/>
              <w:left w:val="single" w:sz="6" w:space="0" w:color="auto"/>
              <w:bottom w:val="single" w:sz="6" w:space="0" w:color="auto"/>
              <w:right w:val="single" w:sz="6" w:space="0" w:color="auto"/>
            </w:tcBorders>
            <w:vAlign w:val="center"/>
          </w:tcPr>
          <w:p w14:paraId="0EAF5144" w14:textId="46694119"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Wsparcie dla wielu ustawień narodowych i wielu zestawów znaków (włącznie z </w:t>
            </w:r>
            <w:proofErr w:type="spellStart"/>
            <w:r w:rsidRPr="001656B0">
              <w:rPr>
                <w:rFonts w:ascii="Arial" w:hAnsi="Arial" w:cs="Arial"/>
                <w:sz w:val="22"/>
                <w:szCs w:val="22"/>
              </w:rPr>
              <w:t>Unicode</w:t>
            </w:r>
            <w:proofErr w:type="spellEnd"/>
            <w:r w:rsidRPr="001656B0">
              <w:rPr>
                <w:rFonts w:ascii="Arial" w:hAnsi="Arial" w:cs="Arial"/>
                <w:sz w:val="22"/>
                <w:szCs w:val="22"/>
              </w:rPr>
              <w:t xml:space="preserve">) zarówno po stronie serwera bazy danych jak i oprogramowania klienckiego. Wsparcie dla polskich stron kodowych – ISO-8859-2, MS Windows </w:t>
            </w:r>
            <w:proofErr w:type="spellStart"/>
            <w:r w:rsidRPr="001656B0">
              <w:rPr>
                <w:rFonts w:ascii="Arial" w:hAnsi="Arial" w:cs="Arial"/>
                <w:sz w:val="22"/>
                <w:szCs w:val="22"/>
              </w:rPr>
              <w:t>Code</w:t>
            </w:r>
            <w:proofErr w:type="spellEnd"/>
            <w:r w:rsidRPr="001656B0">
              <w:rPr>
                <w:rFonts w:ascii="Arial" w:hAnsi="Arial" w:cs="Arial"/>
                <w:sz w:val="22"/>
                <w:szCs w:val="22"/>
              </w:rPr>
              <w:t xml:space="preserve"> </w:t>
            </w:r>
            <w:proofErr w:type="spellStart"/>
            <w:r w:rsidRPr="001656B0">
              <w:rPr>
                <w:rFonts w:ascii="Arial" w:hAnsi="Arial" w:cs="Arial"/>
                <w:sz w:val="22"/>
                <w:szCs w:val="22"/>
              </w:rPr>
              <w:t>Page</w:t>
            </w:r>
            <w:proofErr w:type="spellEnd"/>
            <w:r w:rsidRPr="001656B0">
              <w:rPr>
                <w:rFonts w:ascii="Arial" w:hAnsi="Arial" w:cs="Arial"/>
                <w:sz w:val="22"/>
                <w:szCs w:val="22"/>
              </w:rPr>
              <w:t xml:space="preserve"> 1250 oraz PC 852. Automatyczna konwersja znaków pomiędzy różnymi ustawieniami stron kodowych po stronie klienta i serwera bazy danych.</w:t>
            </w:r>
          </w:p>
        </w:tc>
        <w:tc>
          <w:tcPr>
            <w:tcW w:w="5954" w:type="dxa"/>
          </w:tcPr>
          <w:p w14:paraId="76CD687B" w14:textId="77777777" w:rsidR="004D64B2" w:rsidRPr="001656B0" w:rsidRDefault="004D64B2" w:rsidP="004D64B2">
            <w:pPr>
              <w:rPr>
                <w:rFonts w:ascii="Arial" w:hAnsi="Arial" w:cs="Arial"/>
                <w:sz w:val="22"/>
                <w:szCs w:val="22"/>
              </w:rPr>
            </w:pPr>
          </w:p>
        </w:tc>
        <w:tc>
          <w:tcPr>
            <w:tcW w:w="1417" w:type="dxa"/>
          </w:tcPr>
          <w:p w14:paraId="412E1B2A" w14:textId="77777777" w:rsidR="004D64B2" w:rsidRPr="001656B0" w:rsidRDefault="004D64B2" w:rsidP="004D64B2">
            <w:pPr>
              <w:rPr>
                <w:rFonts w:ascii="Arial" w:hAnsi="Arial" w:cs="Arial"/>
                <w:sz w:val="22"/>
                <w:szCs w:val="22"/>
              </w:rPr>
            </w:pPr>
          </w:p>
        </w:tc>
      </w:tr>
      <w:tr w:rsidR="004D64B2" w14:paraId="580B96CA" w14:textId="77777777" w:rsidTr="004D64B2">
        <w:tc>
          <w:tcPr>
            <w:tcW w:w="460" w:type="dxa"/>
          </w:tcPr>
          <w:p w14:paraId="62465E3E" w14:textId="4E903210" w:rsidR="004D64B2" w:rsidRDefault="004D64B2" w:rsidP="004D64B2">
            <w:r>
              <w:t>17</w:t>
            </w:r>
          </w:p>
        </w:tc>
        <w:tc>
          <w:tcPr>
            <w:tcW w:w="5953" w:type="dxa"/>
            <w:tcBorders>
              <w:top w:val="single" w:sz="6" w:space="0" w:color="auto"/>
              <w:left w:val="single" w:sz="6" w:space="0" w:color="auto"/>
              <w:bottom w:val="single" w:sz="6" w:space="0" w:color="auto"/>
              <w:right w:val="single" w:sz="6" w:space="0" w:color="auto"/>
            </w:tcBorders>
            <w:vAlign w:val="center"/>
          </w:tcPr>
          <w:p w14:paraId="409A6D94" w14:textId="4EF323F0"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Możliwość migracji bazy danych utrzymujących dane znakowe w 8-bitowej stronie kodowej do </w:t>
            </w:r>
            <w:proofErr w:type="spellStart"/>
            <w:r w:rsidRPr="001656B0">
              <w:rPr>
                <w:rFonts w:ascii="Arial" w:hAnsi="Arial" w:cs="Arial"/>
                <w:sz w:val="22"/>
                <w:szCs w:val="22"/>
              </w:rPr>
              <w:t>Unicode</w:t>
            </w:r>
            <w:proofErr w:type="spellEnd"/>
            <w:r w:rsidRPr="001656B0">
              <w:rPr>
                <w:rFonts w:ascii="Arial" w:hAnsi="Arial" w:cs="Arial"/>
                <w:sz w:val="22"/>
                <w:szCs w:val="22"/>
              </w:rPr>
              <w:t>.</w:t>
            </w:r>
          </w:p>
        </w:tc>
        <w:tc>
          <w:tcPr>
            <w:tcW w:w="5954" w:type="dxa"/>
          </w:tcPr>
          <w:p w14:paraId="7F6AA6AC" w14:textId="77777777" w:rsidR="004D64B2" w:rsidRPr="001656B0" w:rsidRDefault="004D64B2" w:rsidP="004D64B2">
            <w:pPr>
              <w:rPr>
                <w:rFonts w:ascii="Arial" w:hAnsi="Arial" w:cs="Arial"/>
                <w:sz w:val="22"/>
                <w:szCs w:val="22"/>
              </w:rPr>
            </w:pPr>
          </w:p>
        </w:tc>
        <w:tc>
          <w:tcPr>
            <w:tcW w:w="1417" w:type="dxa"/>
          </w:tcPr>
          <w:p w14:paraId="39890181" w14:textId="77777777" w:rsidR="004D64B2" w:rsidRPr="001656B0" w:rsidRDefault="004D64B2" w:rsidP="004D64B2">
            <w:pPr>
              <w:rPr>
                <w:rFonts w:ascii="Arial" w:hAnsi="Arial" w:cs="Arial"/>
                <w:sz w:val="22"/>
                <w:szCs w:val="22"/>
              </w:rPr>
            </w:pPr>
          </w:p>
        </w:tc>
      </w:tr>
      <w:tr w:rsidR="004D64B2" w14:paraId="088A3F0B" w14:textId="77777777" w:rsidTr="004D64B2">
        <w:tc>
          <w:tcPr>
            <w:tcW w:w="460" w:type="dxa"/>
          </w:tcPr>
          <w:p w14:paraId="0E40F21C" w14:textId="285E387C" w:rsidR="004D64B2" w:rsidRDefault="004D64B2" w:rsidP="004D64B2">
            <w:r>
              <w:t>18</w:t>
            </w:r>
          </w:p>
        </w:tc>
        <w:tc>
          <w:tcPr>
            <w:tcW w:w="5953" w:type="dxa"/>
            <w:tcBorders>
              <w:top w:val="single" w:sz="6" w:space="0" w:color="auto"/>
              <w:left w:val="single" w:sz="6" w:space="0" w:color="auto"/>
              <w:bottom w:val="single" w:sz="6" w:space="0" w:color="auto"/>
              <w:right w:val="single" w:sz="6" w:space="0" w:color="auto"/>
            </w:tcBorders>
            <w:vAlign w:val="center"/>
          </w:tcPr>
          <w:p w14:paraId="6C94E35A" w14:textId="60B68F71"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definiowania w przestrzeni danych (plików) dla danych użytkownika obszarów o innym niż domyślny rozmiarze bloku.</w:t>
            </w:r>
          </w:p>
        </w:tc>
        <w:tc>
          <w:tcPr>
            <w:tcW w:w="5954" w:type="dxa"/>
          </w:tcPr>
          <w:p w14:paraId="26E2E2F7" w14:textId="77777777" w:rsidR="004D64B2" w:rsidRPr="001656B0" w:rsidRDefault="004D64B2" w:rsidP="004D64B2">
            <w:pPr>
              <w:rPr>
                <w:rFonts w:ascii="Arial" w:hAnsi="Arial" w:cs="Arial"/>
                <w:sz w:val="22"/>
                <w:szCs w:val="22"/>
              </w:rPr>
            </w:pPr>
          </w:p>
        </w:tc>
        <w:tc>
          <w:tcPr>
            <w:tcW w:w="1417" w:type="dxa"/>
          </w:tcPr>
          <w:p w14:paraId="6929ED87" w14:textId="77777777" w:rsidR="004D64B2" w:rsidRPr="001656B0" w:rsidRDefault="004D64B2" w:rsidP="004D64B2">
            <w:pPr>
              <w:rPr>
                <w:rFonts w:ascii="Arial" w:hAnsi="Arial" w:cs="Arial"/>
                <w:sz w:val="22"/>
                <w:szCs w:val="22"/>
              </w:rPr>
            </w:pPr>
          </w:p>
        </w:tc>
      </w:tr>
      <w:tr w:rsidR="004D64B2" w14:paraId="2FF5252D" w14:textId="77777777" w:rsidTr="004D64B2">
        <w:tc>
          <w:tcPr>
            <w:tcW w:w="460" w:type="dxa"/>
          </w:tcPr>
          <w:p w14:paraId="141040CF" w14:textId="25A50DA7" w:rsidR="004D64B2" w:rsidRDefault="004D64B2" w:rsidP="004D64B2">
            <w:r>
              <w:t>19</w:t>
            </w:r>
          </w:p>
        </w:tc>
        <w:tc>
          <w:tcPr>
            <w:tcW w:w="5953" w:type="dxa"/>
            <w:tcBorders>
              <w:top w:val="single" w:sz="6" w:space="0" w:color="auto"/>
              <w:left w:val="single" w:sz="6" w:space="0" w:color="auto"/>
              <w:bottom w:val="single" w:sz="6" w:space="0" w:color="auto"/>
              <w:right w:val="single" w:sz="6" w:space="0" w:color="auto"/>
            </w:tcBorders>
            <w:vAlign w:val="center"/>
          </w:tcPr>
          <w:p w14:paraId="4E9306C3" w14:textId="56A9D969"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bez dodatkowych ograniczeń przechowywania wierszy, których rozmiar przekracza rozmiar bloku bazy danych.</w:t>
            </w:r>
          </w:p>
        </w:tc>
        <w:tc>
          <w:tcPr>
            <w:tcW w:w="5954" w:type="dxa"/>
          </w:tcPr>
          <w:p w14:paraId="79773E34" w14:textId="77777777" w:rsidR="004D64B2" w:rsidRPr="001656B0" w:rsidRDefault="004D64B2" w:rsidP="004D64B2">
            <w:pPr>
              <w:rPr>
                <w:rFonts w:ascii="Arial" w:hAnsi="Arial" w:cs="Arial"/>
                <w:sz w:val="22"/>
                <w:szCs w:val="22"/>
              </w:rPr>
            </w:pPr>
          </w:p>
        </w:tc>
        <w:tc>
          <w:tcPr>
            <w:tcW w:w="1417" w:type="dxa"/>
          </w:tcPr>
          <w:p w14:paraId="6E9A4926" w14:textId="77777777" w:rsidR="004D64B2" w:rsidRPr="001656B0" w:rsidRDefault="004D64B2" w:rsidP="004D64B2">
            <w:pPr>
              <w:rPr>
                <w:rFonts w:ascii="Arial" w:hAnsi="Arial" w:cs="Arial"/>
                <w:sz w:val="22"/>
                <w:szCs w:val="22"/>
              </w:rPr>
            </w:pPr>
          </w:p>
        </w:tc>
      </w:tr>
      <w:tr w:rsidR="004D64B2" w14:paraId="041E2D75" w14:textId="77777777" w:rsidTr="004D64B2">
        <w:tc>
          <w:tcPr>
            <w:tcW w:w="460" w:type="dxa"/>
          </w:tcPr>
          <w:p w14:paraId="74AFFD7D" w14:textId="3047E4F2" w:rsidR="004D64B2" w:rsidRDefault="004D64B2" w:rsidP="004D64B2">
            <w:r>
              <w:t>20</w:t>
            </w:r>
          </w:p>
        </w:tc>
        <w:tc>
          <w:tcPr>
            <w:tcW w:w="5953" w:type="dxa"/>
            <w:tcBorders>
              <w:top w:val="single" w:sz="6" w:space="0" w:color="auto"/>
              <w:left w:val="single" w:sz="6" w:space="0" w:color="auto"/>
              <w:bottom w:val="single" w:sz="6" w:space="0" w:color="auto"/>
              <w:right w:val="single" w:sz="6" w:space="0" w:color="auto"/>
            </w:tcBorders>
            <w:vAlign w:val="center"/>
          </w:tcPr>
          <w:p w14:paraId="1E9CA597" w14:textId="4D06788C"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budowania indeksów o strukturze B-drzewa. Baza danych powinna umożliwiać założenie indeksu jednej lub większej liczbie kolumn tabeli, przy czym ograniczenie liczby kolumn na których założony jest 1 indeks nie powinno być mniejsze niż 16.</w:t>
            </w:r>
          </w:p>
        </w:tc>
        <w:tc>
          <w:tcPr>
            <w:tcW w:w="5954" w:type="dxa"/>
          </w:tcPr>
          <w:p w14:paraId="7A894B06" w14:textId="77777777" w:rsidR="004D64B2" w:rsidRPr="001656B0" w:rsidRDefault="004D64B2" w:rsidP="004D64B2">
            <w:pPr>
              <w:rPr>
                <w:rFonts w:ascii="Arial" w:hAnsi="Arial" w:cs="Arial"/>
                <w:sz w:val="22"/>
                <w:szCs w:val="22"/>
              </w:rPr>
            </w:pPr>
          </w:p>
        </w:tc>
        <w:tc>
          <w:tcPr>
            <w:tcW w:w="1417" w:type="dxa"/>
          </w:tcPr>
          <w:p w14:paraId="001015BA" w14:textId="77777777" w:rsidR="004D64B2" w:rsidRPr="001656B0" w:rsidRDefault="004D64B2" w:rsidP="004D64B2">
            <w:pPr>
              <w:rPr>
                <w:rFonts w:ascii="Arial" w:hAnsi="Arial" w:cs="Arial"/>
                <w:sz w:val="22"/>
                <w:szCs w:val="22"/>
              </w:rPr>
            </w:pPr>
          </w:p>
        </w:tc>
      </w:tr>
      <w:tr w:rsidR="004D64B2" w14:paraId="4BFB3A18" w14:textId="77777777" w:rsidTr="004D64B2">
        <w:tc>
          <w:tcPr>
            <w:tcW w:w="460" w:type="dxa"/>
          </w:tcPr>
          <w:p w14:paraId="5DA00D48" w14:textId="5EA7E430" w:rsidR="004D64B2" w:rsidRDefault="004D64B2" w:rsidP="004D64B2">
            <w:r>
              <w:t>21</w:t>
            </w:r>
          </w:p>
        </w:tc>
        <w:tc>
          <w:tcPr>
            <w:tcW w:w="5953" w:type="dxa"/>
            <w:tcBorders>
              <w:top w:val="single" w:sz="6" w:space="0" w:color="auto"/>
              <w:left w:val="single" w:sz="6" w:space="0" w:color="auto"/>
              <w:bottom w:val="single" w:sz="6" w:space="0" w:color="auto"/>
              <w:right w:val="single" w:sz="6" w:space="0" w:color="auto"/>
            </w:tcBorders>
            <w:vAlign w:val="center"/>
          </w:tcPr>
          <w:p w14:paraId="602A6ADB" w14:textId="0C4B5FD0"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budowania widoków zmaterializowanych odzwierciedlających stan danych zdefiniowanych przez zapytanie SQL. Widok zmaterializowany przechowuje rezultat zapytania, którego aktualizacja odbywa się w jednej z dostępnych strategii – na żądanie, okresowo bądź po każdym zatwierdzeniu transakcji modyfikującej tabele, na której oparty jest widok zmaterializowany.</w:t>
            </w:r>
          </w:p>
        </w:tc>
        <w:tc>
          <w:tcPr>
            <w:tcW w:w="5954" w:type="dxa"/>
          </w:tcPr>
          <w:p w14:paraId="56523C62" w14:textId="77777777" w:rsidR="004D64B2" w:rsidRPr="001656B0" w:rsidRDefault="004D64B2" w:rsidP="004D64B2">
            <w:pPr>
              <w:rPr>
                <w:rFonts w:ascii="Arial" w:hAnsi="Arial" w:cs="Arial"/>
                <w:sz w:val="22"/>
                <w:szCs w:val="22"/>
              </w:rPr>
            </w:pPr>
          </w:p>
        </w:tc>
        <w:tc>
          <w:tcPr>
            <w:tcW w:w="1417" w:type="dxa"/>
          </w:tcPr>
          <w:p w14:paraId="2BE359DD" w14:textId="77777777" w:rsidR="004D64B2" w:rsidRPr="001656B0" w:rsidRDefault="004D64B2" w:rsidP="004D64B2">
            <w:pPr>
              <w:rPr>
                <w:rFonts w:ascii="Arial" w:hAnsi="Arial" w:cs="Arial"/>
                <w:sz w:val="22"/>
                <w:szCs w:val="22"/>
              </w:rPr>
            </w:pPr>
          </w:p>
        </w:tc>
      </w:tr>
      <w:tr w:rsidR="004D64B2" w14:paraId="3A3F8B71" w14:textId="77777777" w:rsidTr="004D64B2">
        <w:tc>
          <w:tcPr>
            <w:tcW w:w="460" w:type="dxa"/>
          </w:tcPr>
          <w:p w14:paraId="6635E36F" w14:textId="4F15B6B6" w:rsidR="004D64B2" w:rsidRDefault="004D64B2" w:rsidP="004D64B2">
            <w:r>
              <w:lastRenderedPageBreak/>
              <w:t>22</w:t>
            </w:r>
          </w:p>
        </w:tc>
        <w:tc>
          <w:tcPr>
            <w:tcW w:w="5953" w:type="dxa"/>
            <w:tcBorders>
              <w:top w:val="single" w:sz="6" w:space="0" w:color="auto"/>
              <w:left w:val="single" w:sz="6" w:space="0" w:color="auto"/>
              <w:bottom w:val="single" w:sz="6" w:space="0" w:color="auto"/>
              <w:right w:val="single" w:sz="6" w:space="0" w:color="auto"/>
            </w:tcBorders>
            <w:vAlign w:val="center"/>
          </w:tcPr>
          <w:p w14:paraId="3C62F915" w14:textId="42A776F2"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szybkiego odświeżania danych w widoku zmaterializowanym na podstawie mechanizmu identyfikacji zmian w danych źródłowych.</w:t>
            </w:r>
          </w:p>
        </w:tc>
        <w:tc>
          <w:tcPr>
            <w:tcW w:w="5954" w:type="dxa"/>
          </w:tcPr>
          <w:p w14:paraId="3BFA79B7" w14:textId="77777777" w:rsidR="004D64B2" w:rsidRPr="001656B0" w:rsidRDefault="004D64B2" w:rsidP="004D64B2">
            <w:pPr>
              <w:rPr>
                <w:rFonts w:ascii="Arial" w:hAnsi="Arial" w:cs="Arial"/>
                <w:sz w:val="22"/>
                <w:szCs w:val="22"/>
              </w:rPr>
            </w:pPr>
          </w:p>
        </w:tc>
        <w:tc>
          <w:tcPr>
            <w:tcW w:w="1417" w:type="dxa"/>
          </w:tcPr>
          <w:p w14:paraId="131C2837" w14:textId="77777777" w:rsidR="004D64B2" w:rsidRPr="001656B0" w:rsidRDefault="004D64B2" w:rsidP="004D64B2">
            <w:pPr>
              <w:rPr>
                <w:rFonts w:ascii="Arial" w:hAnsi="Arial" w:cs="Arial"/>
                <w:sz w:val="22"/>
                <w:szCs w:val="22"/>
              </w:rPr>
            </w:pPr>
          </w:p>
        </w:tc>
      </w:tr>
      <w:tr w:rsidR="004D64B2" w14:paraId="4A10CCE7" w14:textId="77777777" w:rsidTr="004D64B2">
        <w:tc>
          <w:tcPr>
            <w:tcW w:w="460" w:type="dxa"/>
          </w:tcPr>
          <w:p w14:paraId="09B60BDF" w14:textId="5680D4E8" w:rsidR="004D64B2" w:rsidRDefault="004D64B2" w:rsidP="004D64B2">
            <w:r>
              <w:t>23</w:t>
            </w:r>
          </w:p>
        </w:tc>
        <w:tc>
          <w:tcPr>
            <w:tcW w:w="5953" w:type="dxa"/>
            <w:tcBorders>
              <w:top w:val="single" w:sz="6" w:space="0" w:color="auto"/>
              <w:left w:val="single" w:sz="6" w:space="0" w:color="auto"/>
              <w:bottom w:val="single" w:sz="6" w:space="0" w:color="auto"/>
              <w:right w:val="single" w:sz="6" w:space="0" w:color="auto"/>
            </w:tcBorders>
            <w:vAlign w:val="center"/>
          </w:tcPr>
          <w:p w14:paraId="27F219BE" w14:textId="2D8AE739" w:rsidR="004D64B2" w:rsidRPr="001656B0" w:rsidRDefault="004D64B2" w:rsidP="004D64B2">
            <w:pPr>
              <w:jc w:val="center"/>
              <w:rPr>
                <w:rFonts w:ascii="Arial" w:hAnsi="Arial" w:cs="Arial"/>
                <w:sz w:val="22"/>
                <w:szCs w:val="22"/>
              </w:rPr>
            </w:pPr>
            <w:r w:rsidRPr="001656B0">
              <w:rPr>
                <w:rFonts w:ascii="Arial" w:hAnsi="Arial" w:cs="Arial"/>
                <w:sz w:val="22"/>
                <w:szCs w:val="22"/>
              </w:rPr>
              <w:t>Brak formalnych ograniczeń na liczbę tabel i indeksów w bazie danych oraz na ich rozmiar (liczbę wierszy).</w:t>
            </w:r>
          </w:p>
        </w:tc>
        <w:tc>
          <w:tcPr>
            <w:tcW w:w="5954" w:type="dxa"/>
          </w:tcPr>
          <w:p w14:paraId="0DD25C8D" w14:textId="77777777" w:rsidR="004D64B2" w:rsidRPr="001656B0" w:rsidRDefault="004D64B2" w:rsidP="004D64B2">
            <w:pPr>
              <w:rPr>
                <w:rFonts w:ascii="Arial" w:hAnsi="Arial" w:cs="Arial"/>
                <w:sz w:val="22"/>
                <w:szCs w:val="22"/>
              </w:rPr>
            </w:pPr>
          </w:p>
        </w:tc>
        <w:tc>
          <w:tcPr>
            <w:tcW w:w="1417" w:type="dxa"/>
          </w:tcPr>
          <w:p w14:paraId="5A354E7C" w14:textId="77777777" w:rsidR="004D64B2" w:rsidRPr="001656B0" w:rsidRDefault="004D64B2" w:rsidP="004D64B2">
            <w:pPr>
              <w:rPr>
                <w:rFonts w:ascii="Arial" w:hAnsi="Arial" w:cs="Arial"/>
                <w:sz w:val="22"/>
                <w:szCs w:val="22"/>
              </w:rPr>
            </w:pPr>
          </w:p>
        </w:tc>
      </w:tr>
      <w:tr w:rsidR="004D64B2" w14:paraId="2F11BD5E" w14:textId="77777777" w:rsidTr="004D64B2">
        <w:tc>
          <w:tcPr>
            <w:tcW w:w="460" w:type="dxa"/>
          </w:tcPr>
          <w:p w14:paraId="7938B25B" w14:textId="445C0451" w:rsidR="004D64B2" w:rsidRDefault="004D64B2" w:rsidP="004D64B2">
            <w:r>
              <w:t>24</w:t>
            </w:r>
          </w:p>
        </w:tc>
        <w:tc>
          <w:tcPr>
            <w:tcW w:w="5953" w:type="dxa"/>
            <w:tcBorders>
              <w:top w:val="single" w:sz="6" w:space="0" w:color="auto"/>
              <w:left w:val="single" w:sz="6" w:space="0" w:color="auto"/>
              <w:bottom w:val="single" w:sz="6" w:space="0" w:color="auto"/>
              <w:right w:val="single" w:sz="6" w:space="0" w:color="auto"/>
            </w:tcBorders>
            <w:vAlign w:val="center"/>
          </w:tcPr>
          <w:p w14:paraId="0F1F4C5D" w14:textId="44D55038" w:rsidR="004D64B2" w:rsidRPr="001656B0" w:rsidRDefault="004D64B2" w:rsidP="004D64B2">
            <w:pPr>
              <w:jc w:val="center"/>
              <w:rPr>
                <w:rFonts w:ascii="Arial" w:hAnsi="Arial" w:cs="Arial"/>
                <w:sz w:val="22"/>
                <w:szCs w:val="22"/>
              </w:rPr>
            </w:pPr>
            <w:r w:rsidRPr="001656B0">
              <w:rPr>
                <w:rFonts w:ascii="Arial" w:hAnsi="Arial" w:cs="Arial"/>
                <w:sz w:val="22"/>
                <w:szCs w:val="22"/>
              </w:rPr>
              <w:t>Kosztowy model optymalizacji instrukcji SQL.</w:t>
            </w:r>
          </w:p>
        </w:tc>
        <w:tc>
          <w:tcPr>
            <w:tcW w:w="5954" w:type="dxa"/>
          </w:tcPr>
          <w:p w14:paraId="3EC156A4" w14:textId="77777777" w:rsidR="004D64B2" w:rsidRPr="001656B0" w:rsidRDefault="004D64B2" w:rsidP="004D64B2">
            <w:pPr>
              <w:rPr>
                <w:rFonts w:ascii="Arial" w:hAnsi="Arial" w:cs="Arial"/>
                <w:sz w:val="22"/>
                <w:szCs w:val="22"/>
              </w:rPr>
            </w:pPr>
          </w:p>
        </w:tc>
        <w:tc>
          <w:tcPr>
            <w:tcW w:w="1417" w:type="dxa"/>
          </w:tcPr>
          <w:p w14:paraId="1A2596AA" w14:textId="77777777" w:rsidR="004D64B2" w:rsidRPr="001656B0" w:rsidRDefault="004D64B2" w:rsidP="004D64B2">
            <w:pPr>
              <w:rPr>
                <w:rFonts w:ascii="Arial" w:hAnsi="Arial" w:cs="Arial"/>
                <w:sz w:val="22"/>
                <w:szCs w:val="22"/>
              </w:rPr>
            </w:pPr>
          </w:p>
        </w:tc>
      </w:tr>
      <w:tr w:rsidR="004D64B2" w14:paraId="0134F617" w14:textId="77777777" w:rsidTr="004D64B2">
        <w:tc>
          <w:tcPr>
            <w:tcW w:w="460" w:type="dxa"/>
          </w:tcPr>
          <w:p w14:paraId="79EAE1E9" w14:textId="3F81B429" w:rsidR="004D64B2" w:rsidRDefault="004D64B2" w:rsidP="004D64B2">
            <w:r>
              <w:t>25</w:t>
            </w:r>
          </w:p>
        </w:tc>
        <w:tc>
          <w:tcPr>
            <w:tcW w:w="5953" w:type="dxa"/>
            <w:tcBorders>
              <w:top w:val="single" w:sz="6" w:space="0" w:color="auto"/>
              <w:left w:val="single" w:sz="6" w:space="0" w:color="auto"/>
              <w:bottom w:val="single" w:sz="6" w:space="0" w:color="auto"/>
              <w:right w:val="single" w:sz="6" w:space="0" w:color="auto"/>
            </w:tcBorders>
            <w:vAlign w:val="center"/>
          </w:tcPr>
          <w:p w14:paraId="42E99EC8" w14:textId="46735E5E" w:rsidR="004D64B2" w:rsidRPr="001656B0" w:rsidRDefault="004D64B2" w:rsidP="004D64B2">
            <w:pPr>
              <w:jc w:val="center"/>
              <w:rPr>
                <w:rFonts w:ascii="Arial" w:hAnsi="Arial" w:cs="Arial"/>
                <w:sz w:val="22"/>
                <w:szCs w:val="22"/>
              </w:rPr>
            </w:pPr>
            <w:r w:rsidRPr="001656B0">
              <w:rPr>
                <w:rFonts w:ascii="Arial" w:hAnsi="Arial" w:cs="Arial"/>
                <w:sz w:val="22"/>
                <w:szCs w:val="22"/>
              </w:rPr>
              <w:t>Model statystyk optymalizatora kosztowego musi pozwalać na odwzorowanie nierównomierności rozkładu danych (składowanie informacji o rozkładzie wartości występujących w kolumnach za pomocą histogramu bądź porównywalnego funkcjonalnie modelu odwzorowania).</w:t>
            </w:r>
          </w:p>
        </w:tc>
        <w:tc>
          <w:tcPr>
            <w:tcW w:w="5954" w:type="dxa"/>
          </w:tcPr>
          <w:p w14:paraId="177D314E" w14:textId="77777777" w:rsidR="004D64B2" w:rsidRPr="001656B0" w:rsidRDefault="004D64B2" w:rsidP="004D64B2">
            <w:pPr>
              <w:rPr>
                <w:rFonts w:ascii="Arial" w:hAnsi="Arial" w:cs="Arial"/>
                <w:sz w:val="22"/>
                <w:szCs w:val="22"/>
              </w:rPr>
            </w:pPr>
          </w:p>
        </w:tc>
        <w:tc>
          <w:tcPr>
            <w:tcW w:w="1417" w:type="dxa"/>
          </w:tcPr>
          <w:p w14:paraId="38D93E39" w14:textId="77777777" w:rsidR="004D64B2" w:rsidRPr="001656B0" w:rsidRDefault="004D64B2" w:rsidP="004D64B2">
            <w:pPr>
              <w:rPr>
                <w:rFonts w:ascii="Arial" w:hAnsi="Arial" w:cs="Arial"/>
                <w:sz w:val="22"/>
                <w:szCs w:val="22"/>
              </w:rPr>
            </w:pPr>
          </w:p>
        </w:tc>
      </w:tr>
      <w:tr w:rsidR="004D64B2" w14:paraId="7ADBD3E1" w14:textId="77777777" w:rsidTr="004D64B2">
        <w:tc>
          <w:tcPr>
            <w:tcW w:w="460" w:type="dxa"/>
          </w:tcPr>
          <w:p w14:paraId="4459717A" w14:textId="2D46FA6D" w:rsidR="004D64B2" w:rsidRDefault="004D64B2" w:rsidP="004D64B2">
            <w:r>
              <w:t>26</w:t>
            </w:r>
          </w:p>
        </w:tc>
        <w:tc>
          <w:tcPr>
            <w:tcW w:w="5953" w:type="dxa"/>
            <w:tcBorders>
              <w:top w:val="single" w:sz="6" w:space="0" w:color="auto"/>
              <w:left w:val="single" w:sz="6" w:space="0" w:color="auto"/>
              <w:bottom w:val="single" w:sz="6" w:space="0" w:color="auto"/>
              <w:right w:val="single" w:sz="6" w:space="0" w:color="auto"/>
            </w:tcBorders>
            <w:vAlign w:val="center"/>
          </w:tcPr>
          <w:p w14:paraId="366336BA" w14:textId="52F816D0"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uwzględnienia korelacji wartości występujących w niezależnych kolumnach tabeli w modelu statystyk optymalizatora kosztowego.</w:t>
            </w:r>
          </w:p>
        </w:tc>
        <w:tc>
          <w:tcPr>
            <w:tcW w:w="5954" w:type="dxa"/>
          </w:tcPr>
          <w:p w14:paraId="17375C82" w14:textId="77777777" w:rsidR="004D64B2" w:rsidRPr="001656B0" w:rsidRDefault="004D64B2" w:rsidP="004D64B2">
            <w:pPr>
              <w:rPr>
                <w:rFonts w:ascii="Arial" w:hAnsi="Arial" w:cs="Arial"/>
                <w:sz w:val="22"/>
                <w:szCs w:val="22"/>
              </w:rPr>
            </w:pPr>
          </w:p>
        </w:tc>
        <w:tc>
          <w:tcPr>
            <w:tcW w:w="1417" w:type="dxa"/>
          </w:tcPr>
          <w:p w14:paraId="41E4A006" w14:textId="77777777" w:rsidR="004D64B2" w:rsidRPr="001656B0" w:rsidRDefault="004D64B2" w:rsidP="004D64B2">
            <w:pPr>
              <w:rPr>
                <w:rFonts w:ascii="Arial" w:hAnsi="Arial" w:cs="Arial"/>
                <w:sz w:val="22"/>
                <w:szCs w:val="22"/>
              </w:rPr>
            </w:pPr>
          </w:p>
        </w:tc>
      </w:tr>
      <w:tr w:rsidR="004D64B2" w14:paraId="485D4A1A" w14:textId="77777777" w:rsidTr="004D64B2">
        <w:tc>
          <w:tcPr>
            <w:tcW w:w="460" w:type="dxa"/>
          </w:tcPr>
          <w:p w14:paraId="4B1DAECA" w14:textId="432BF54A" w:rsidR="004D64B2" w:rsidRDefault="004D64B2" w:rsidP="004D64B2">
            <w:r>
              <w:t>27</w:t>
            </w:r>
          </w:p>
        </w:tc>
        <w:tc>
          <w:tcPr>
            <w:tcW w:w="5953" w:type="dxa"/>
            <w:tcBorders>
              <w:top w:val="single" w:sz="6" w:space="0" w:color="auto"/>
              <w:left w:val="single" w:sz="6" w:space="0" w:color="auto"/>
              <w:bottom w:val="single" w:sz="6" w:space="0" w:color="auto"/>
              <w:right w:val="single" w:sz="6" w:space="0" w:color="auto"/>
            </w:tcBorders>
            <w:vAlign w:val="center"/>
          </w:tcPr>
          <w:p w14:paraId="4CC75FB6" w14:textId="128FFB2A" w:rsidR="004D64B2" w:rsidRPr="001656B0" w:rsidRDefault="004D64B2" w:rsidP="004D64B2">
            <w:pPr>
              <w:jc w:val="center"/>
              <w:rPr>
                <w:rFonts w:ascii="Arial" w:hAnsi="Arial" w:cs="Arial"/>
                <w:sz w:val="22"/>
                <w:szCs w:val="22"/>
              </w:rPr>
            </w:pPr>
            <w:r w:rsidRPr="001656B0">
              <w:rPr>
                <w:rFonts w:ascii="Arial" w:hAnsi="Arial" w:cs="Arial"/>
                <w:sz w:val="22"/>
                <w:szCs w:val="22"/>
              </w:rPr>
              <w:t>RDBMS powinien umożliwiać wskazywanie optymalizatorowi SQL preferowanych metod optymalizacji na poziomie konfiguracji parametrów pracy serwera bazy danych oraz dla wybranych zapytań. Powinna istnieć możliwość umieszczania wskazówek dla optymalizatora w wybranych instrukcjach SQL.</w:t>
            </w:r>
          </w:p>
        </w:tc>
        <w:tc>
          <w:tcPr>
            <w:tcW w:w="5954" w:type="dxa"/>
          </w:tcPr>
          <w:p w14:paraId="17AFAB47" w14:textId="77777777" w:rsidR="004D64B2" w:rsidRPr="001656B0" w:rsidRDefault="004D64B2" w:rsidP="004D64B2">
            <w:pPr>
              <w:rPr>
                <w:rFonts w:ascii="Arial" w:hAnsi="Arial" w:cs="Arial"/>
                <w:sz w:val="22"/>
                <w:szCs w:val="22"/>
              </w:rPr>
            </w:pPr>
          </w:p>
        </w:tc>
        <w:tc>
          <w:tcPr>
            <w:tcW w:w="1417" w:type="dxa"/>
          </w:tcPr>
          <w:p w14:paraId="494A7452" w14:textId="77777777" w:rsidR="004D64B2" w:rsidRPr="001656B0" w:rsidRDefault="004D64B2" w:rsidP="004D64B2">
            <w:pPr>
              <w:rPr>
                <w:rFonts w:ascii="Arial" w:hAnsi="Arial" w:cs="Arial"/>
                <w:sz w:val="22"/>
                <w:szCs w:val="22"/>
              </w:rPr>
            </w:pPr>
          </w:p>
        </w:tc>
      </w:tr>
      <w:tr w:rsidR="004D64B2" w14:paraId="2E7E922F" w14:textId="77777777" w:rsidTr="004D64B2">
        <w:tc>
          <w:tcPr>
            <w:tcW w:w="460" w:type="dxa"/>
          </w:tcPr>
          <w:p w14:paraId="41EE20F8" w14:textId="7E6BC607" w:rsidR="004D64B2" w:rsidRDefault="004D64B2" w:rsidP="004D64B2">
            <w:r>
              <w:t>28</w:t>
            </w:r>
          </w:p>
        </w:tc>
        <w:tc>
          <w:tcPr>
            <w:tcW w:w="5953" w:type="dxa"/>
            <w:tcBorders>
              <w:top w:val="single" w:sz="6" w:space="0" w:color="auto"/>
              <w:left w:val="single" w:sz="6" w:space="0" w:color="auto"/>
              <w:bottom w:val="single" w:sz="6" w:space="0" w:color="auto"/>
              <w:right w:val="single" w:sz="6" w:space="0" w:color="auto"/>
            </w:tcBorders>
            <w:vAlign w:val="center"/>
          </w:tcPr>
          <w:p w14:paraId="67739C23" w14:textId="22CD1441" w:rsidR="004D64B2" w:rsidRPr="001656B0" w:rsidRDefault="004D64B2" w:rsidP="004D64B2">
            <w:pPr>
              <w:jc w:val="center"/>
              <w:rPr>
                <w:rFonts w:ascii="Arial" w:hAnsi="Arial" w:cs="Arial"/>
                <w:sz w:val="22"/>
                <w:szCs w:val="22"/>
              </w:rPr>
            </w:pPr>
            <w:r w:rsidRPr="001656B0">
              <w:rPr>
                <w:rFonts w:ascii="Arial" w:hAnsi="Arial" w:cs="Arial"/>
                <w:sz w:val="22"/>
                <w:szCs w:val="22"/>
              </w:rPr>
              <w:t>Wsparcie dla procedur i funkcji składowanych w bazie danych. Język programowania powinien być językiem proceduralnym, blokowym (umożliwiającym deklarowanie zmiennych wewnątrz bloku), oraz wspierającym obsługę wyjątków. W przypadku, gdy wyjątek nie ma zadeklarowanej obsługi wewnątrz bloku, w razie jego wystąpienia wyjątek powinien być automatycznie propagowany do bloku nadrzędnego bądź wywołującej go jednostki programu.</w:t>
            </w:r>
          </w:p>
        </w:tc>
        <w:tc>
          <w:tcPr>
            <w:tcW w:w="5954" w:type="dxa"/>
          </w:tcPr>
          <w:p w14:paraId="5939E6F2" w14:textId="77777777" w:rsidR="004D64B2" w:rsidRPr="001656B0" w:rsidRDefault="004D64B2" w:rsidP="004D64B2">
            <w:pPr>
              <w:rPr>
                <w:rFonts w:ascii="Arial" w:hAnsi="Arial" w:cs="Arial"/>
                <w:sz w:val="22"/>
                <w:szCs w:val="22"/>
              </w:rPr>
            </w:pPr>
          </w:p>
        </w:tc>
        <w:tc>
          <w:tcPr>
            <w:tcW w:w="1417" w:type="dxa"/>
          </w:tcPr>
          <w:p w14:paraId="1D5DB1E6" w14:textId="77777777" w:rsidR="004D64B2" w:rsidRPr="001656B0" w:rsidRDefault="004D64B2" w:rsidP="004D64B2">
            <w:pPr>
              <w:rPr>
                <w:rFonts w:ascii="Arial" w:hAnsi="Arial" w:cs="Arial"/>
                <w:sz w:val="22"/>
                <w:szCs w:val="22"/>
              </w:rPr>
            </w:pPr>
          </w:p>
        </w:tc>
      </w:tr>
      <w:tr w:rsidR="004D64B2" w14:paraId="5224525F" w14:textId="77777777" w:rsidTr="004D64B2">
        <w:tc>
          <w:tcPr>
            <w:tcW w:w="460" w:type="dxa"/>
          </w:tcPr>
          <w:p w14:paraId="19702AC3" w14:textId="73212756" w:rsidR="004D64B2" w:rsidRDefault="004D64B2" w:rsidP="004D64B2">
            <w:r>
              <w:t>29</w:t>
            </w:r>
          </w:p>
        </w:tc>
        <w:tc>
          <w:tcPr>
            <w:tcW w:w="5953" w:type="dxa"/>
            <w:tcBorders>
              <w:top w:val="single" w:sz="6" w:space="0" w:color="auto"/>
              <w:left w:val="single" w:sz="6" w:space="0" w:color="auto"/>
              <w:bottom w:val="single" w:sz="6" w:space="0" w:color="auto"/>
              <w:right w:val="single" w:sz="6" w:space="0" w:color="auto"/>
            </w:tcBorders>
            <w:vAlign w:val="center"/>
          </w:tcPr>
          <w:p w14:paraId="7F2536EE" w14:textId="6601C3C5"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Procedury i funkcje składowane powinny mieć możliwość parametryzowania za pomocą parametrów prostych jak i </w:t>
            </w:r>
            <w:r w:rsidRPr="001656B0">
              <w:rPr>
                <w:rFonts w:ascii="Arial" w:hAnsi="Arial" w:cs="Arial"/>
                <w:sz w:val="22"/>
                <w:szCs w:val="22"/>
              </w:rPr>
              <w:lastRenderedPageBreak/>
              <w:t>parametrów o typach złożonych, definiowanych przez użytkownika. Funkcje powinny mieć możliwość zwracania rezultatów jako zbioru danych, możliwego do wykorzystania jako źródło danych w instrukcjach SQL (czyli występujących we frazie FROM). Ww. jednostki programowe powinny umożliwiać wywoływanie instrukcji SQL (zapytania, instrukcje DML, DDL), umożliwiać jednoczesne otwarcie wielu tzw. kursorów pobierających paczki danych (wiele wierszy za jednym pobraniem) oraz wspierać mechanizmy transakcyjne (np. zatwierdzanie bądź wycofanie transakcji wewnątrz procedury).</w:t>
            </w:r>
          </w:p>
        </w:tc>
        <w:tc>
          <w:tcPr>
            <w:tcW w:w="5954" w:type="dxa"/>
          </w:tcPr>
          <w:p w14:paraId="51B93C39" w14:textId="77777777" w:rsidR="004D64B2" w:rsidRPr="001656B0" w:rsidRDefault="004D64B2" w:rsidP="004D64B2">
            <w:pPr>
              <w:rPr>
                <w:rFonts w:ascii="Arial" w:hAnsi="Arial" w:cs="Arial"/>
                <w:sz w:val="22"/>
                <w:szCs w:val="22"/>
              </w:rPr>
            </w:pPr>
          </w:p>
        </w:tc>
        <w:tc>
          <w:tcPr>
            <w:tcW w:w="1417" w:type="dxa"/>
          </w:tcPr>
          <w:p w14:paraId="4A4848F9" w14:textId="77777777" w:rsidR="004D64B2" w:rsidRPr="001656B0" w:rsidRDefault="004D64B2" w:rsidP="004D64B2">
            <w:pPr>
              <w:rPr>
                <w:rFonts w:ascii="Arial" w:hAnsi="Arial" w:cs="Arial"/>
                <w:sz w:val="22"/>
                <w:szCs w:val="22"/>
              </w:rPr>
            </w:pPr>
          </w:p>
        </w:tc>
      </w:tr>
      <w:tr w:rsidR="004D64B2" w14:paraId="754372FB" w14:textId="77777777" w:rsidTr="004D64B2">
        <w:tc>
          <w:tcPr>
            <w:tcW w:w="460" w:type="dxa"/>
          </w:tcPr>
          <w:p w14:paraId="197D1825" w14:textId="41972DEB" w:rsidR="004D64B2" w:rsidRDefault="004D64B2" w:rsidP="004D64B2">
            <w:r>
              <w:t>30</w:t>
            </w:r>
          </w:p>
        </w:tc>
        <w:tc>
          <w:tcPr>
            <w:tcW w:w="5953" w:type="dxa"/>
            <w:tcBorders>
              <w:top w:val="single" w:sz="6" w:space="0" w:color="auto"/>
              <w:left w:val="single" w:sz="6" w:space="0" w:color="auto"/>
              <w:bottom w:val="single" w:sz="6" w:space="0" w:color="auto"/>
              <w:right w:val="single" w:sz="6" w:space="0" w:color="auto"/>
            </w:tcBorders>
            <w:vAlign w:val="center"/>
          </w:tcPr>
          <w:p w14:paraId="6F13FBB6" w14:textId="6CC04E4E"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kompilacji procedur składowanych w bazie do postaci kodu binarnego (biblioteki dzielonej).</w:t>
            </w:r>
          </w:p>
        </w:tc>
        <w:tc>
          <w:tcPr>
            <w:tcW w:w="5954" w:type="dxa"/>
          </w:tcPr>
          <w:p w14:paraId="6CAC5EC4" w14:textId="77777777" w:rsidR="004D64B2" w:rsidRPr="001656B0" w:rsidRDefault="004D64B2" w:rsidP="004D64B2">
            <w:pPr>
              <w:rPr>
                <w:rFonts w:ascii="Arial" w:hAnsi="Arial" w:cs="Arial"/>
                <w:sz w:val="22"/>
                <w:szCs w:val="22"/>
              </w:rPr>
            </w:pPr>
          </w:p>
        </w:tc>
        <w:tc>
          <w:tcPr>
            <w:tcW w:w="1417" w:type="dxa"/>
          </w:tcPr>
          <w:p w14:paraId="2BBC638A" w14:textId="77777777" w:rsidR="004D64B2" w:rsidRPr="001656B0" w:rsidRDefault="004D64B2" w:rsidP="004D64B2">
            <w:pPr>
              <w:rPr>
                <w:rFonts w:ascii="Arial" w:hAnsi="Arial" w:cs="Arial"/>
                <w:sz w:val="22"/>
                <w:szCs w:val="22"/>
              </w:rPr>
            </w:pPr>
          </w:p>
        </w:tc>
      </w:tr>
      <w:tr w:rsidR="004D64B2" w14:paraId="50AF79C7" w14:textId="77777777" w:rsidTr="004D64B2">
        <w:tc>
          <w:tcPr>
            <w:tcW w:w="460" w:type="dxa"/>
          </w:tcPr>
          <w:p w14:paraId="4B042CE6" w14:textId="4E2FFD73" w:rsidR="004D64B2" w:rsidRDefault="004D64B2" w:rsidP="004D64B2">
            <w:r>
              <w:t>31</w:t>
            </w:r>
          </w:p>
        </w:tc>
        <w:tc>
          <w:tcPr>
            <w:tcW w:w="5953" w:type="dxa"/>
            <w:tcBorders>
              <w:top w:val="single" w:sz="6" w:space="0" w:color="auto"/>
              <w:left w:val="single" w:sz="6" w:space="0" w:color="auto"/>
              <w:bottom w:val="single" w:sz="6" w:space="0" w:color="auto"/>
              <w:right w:val="single" w:sz="6" w:space="0" w:color="auto"/>
            </w:tcBorders>
            <w:vAlign w:val="center"/>
          </w:tcPr>
          <w:p w14:paraId="7A3B5495" w14:textId="2888FC33"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deklarowania wyzwalaczy (</w:t>
            </w:r>
            <w:proofErr w:type="spellStart"/>
            <w:r w:rsidRPr="001656B0">
              <w:rPr>
                <w:rFonts w:ascii="Arial" w:hAnsi="Arial" w:cs="Arial"/>
                <w:sz w:val="22"/>
                <w:szCs w:val="22"/>
              </w:rPr>
              <w:t>triggerów</w:t>
            </w:r>
            <w:proofErr w:type="spellEnd"/>
            <w:r w:rsidRPr="001656B0">
              <w:rPr>
                <w:rFonts w:ascii="Arial" w:hAnsi="Arial" w:cs="Arial"/>
                <w:sz w:val="22"/>
                <w:szCs w:val="22"/>
              </w:rPr>
              <w:t>) na poziomie instrukcji DML (INSERT, UPDATE, DELETE) wykonywanej na tabeli, poziomie każdego wiersza modyfikowanego przez instrukcję DML oraz na poziomie zdarzeń bazy danych (np. próba wykonania instrukcji DML, start serwera, stop serwera, próba zalogowania użytkownika, wystąpienie specyficznego błędu w serwerze). Ponadto mechanizm wyzwalaczy powinien umożliwiać oprogramowanie obsługi instrukcji DML (INSERT, UPDATE, DELETE) wykonywanych na tzw. niemodyfikowalnych widokach (</w:t>
            </w:r>
            <w:proofErr w:type="spellStart"/>
            <w:r w:rsidRPr="001656B0">
              <w:rPr>
                <w:rFonts w:ascii="Arial" w:hAnsi="Arial" w:cs="Arial"/>
                <w:sz w:val="22"/>
                <w:szCs w:val="22"/>
              </w:rPr>
              <w:t>views</w:t>
            </w:r>
            <w:proofErr w:type="spellEnd"/>
            <w:r w:rsidRPr="001656B0">
              <w:rPr>
                <w:rFonts w:ascii="Arial" w:hAnsi="Arial" w:cs="Arial"/>
                <w:sz w:val="22"/>
                <w:szCs w:val="22"/>
              </w:rPr>
              <w:t>).</w:t>
            </w:r>
          </w:p>
        </w:tc>
        <w:tc>
          <w:tcPr>
            <w:tcW w:w="5954" w:type="dxa"/>
          </w:tcPr>
          <w:p w14:paraId="5128E0F2" w14:textId="77777777" w:rsidR="004D64B2" w:rsidRPr="001656B0" w:rsidRDefault="004D64B2" w:rsidP="004D64B2">
            <w:pPr>
              <w:rPr>
                <w:rFonts w:ascii="Arial" w:hAnsi="Arial" w:cs="Arial"/>
                <w:sz w:val="22"/>
                <w:szCs w:val="22"/>
              </w:rPr>
            </w:pPr>
          </w:p>
        </w:tc>
        <w:tc>
          <w:tcPr>
            <w:tcW w:w="1417" w:type="dxa"/>
          </w:tcPr>
          <w:p w14:paraId="284A97D4" w14:textId="77777777" w:rsidR="004D64B2" w:rsidRPr="001656B0" w:rsidRDefault="004D64B2" w:rsidP="004D64B2">
            <w:pPr>
              <w:rPr>
                <w:rFonts w:ascii="Arial" w:hAnsi="Arial" w:cs="Arial"/>
                <w:sz w:val="22"/>
                <w:szCs w:val="22"/>
              </w:rPr>
            </w:pPr>
          </w:p>
        </w:tc>
      </w:tr>
      <w:tr w:rsidR="004D64B2" w14:paraId="4C5A530A" w14:textId="77777777" w:rsidTr="004D64B2">
        <w:tc>
          <w:tcPr>
            <w:tcW w:w="460" w:type="dxa"/>
          </w:tcPr>
          <w:p w14:paraId="12C335B8" w14:textId="037E045B" w:rsidR="004D64B2" w:rsidRDefault="004D64B2" w:rsidP="004D64B2">
            <w:r>
              <w:t>32</w:t>
            </w:r>
          </w:p>
        </w:tc>
        <w:tc>
          <w:tcPr>
            <w:tcW w:w="5953" w:type="dxa"/>
            <w:tcBorders>
              <w:top w:val="single" w:sz="6" w:space="0" w:color="auto"/>
              <w:left w:val="single" w:sz="6" w:space="0" w:color="auto"/>
              <w:bottom w:val="single" w:sz="6" w:space="0" w:color="auto"/>
              <w:right w:val="single" w:sz="6" w:space="0" w:color="auto"/>
            </w:tcBorders>
            <w:vAlign w:val="center"/>
          </w:tcPr>
          <w:p w14:paraId="65F0885E" w14:textId="2A3FFFBA"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W przypadku, gdy w wyzwalaczu na poziomie instrukcji DML wystąpi błąd zgłoszony przez motor bazy danych bądź ustawiony wyjątek w kodzie wyzwalacza, wykonywana instrukcja DML musi być automatycznie wycofana przez serwer bazy danych, zaś stan transakcji po wycofaniu musi odzwierciedlać chwilę przed </w:t>
            </w:r>
            <w:r w:rsidRPr="001656B0">
              <w:rPr>
                <w:rFonts w:ascii="Arial" w:hAnsi="Arial" w:cs="Arial"/>
                <w:sz w:val="22"/>
                <w:szCs w:val="22"/>
              </w:rPr>
              <w:lastRenderedPageBreak/>
              <w:t>rozpoczęciem instrukcji w której wystąpił ww. błąd lub wyjątek.</w:t>
            </w:r>
          </w:p>
        </w:tc>
        <w:tc>
          <w:tcPr>
            <w:tcW w:w="5954" w:type="dxa"/>
          </w:tcPr>
          <w:p w14:paraId="57AC64A6" w14:textId="77777777" w:rsidR="004D64B2" w:rsidRPr="001656B0" w:rsidRDefault="004D64B2" w:rsidP="004D64B2">
            <w:pPr>
              <w:rPr>
                <w:rFonts w:ascii="Arial" w:hAnsi="Arial" w:cs="Arial"/>
                <w:sz w:val="22"/>
                <w:szCs w:val="22"/>
              </w:rPr>
            </w:pPr>
          </w:p>
        </w:tc>
        <w:tc>
          <w:tcPr>
            <w:tcW w:w="1417" w:type="dxa"/>
          </w:tcPr>
          <w:p w14:paraId="0B9E20BB" w14:textId="77777777" w:rsidR="004D64B2" w:rsidRPr="001656B0" w:rsidRDefault="004D64B2" w:rsidP="004D64B2">
            <w:pPr>
              <w:rPr>
                <w:rFonts w:ascii="Arial" w:hAnsi="Arial" w:cs="Arial"/>
                <w:sz w:val="22"/>
                <w:szCs w:val="22"/>
              </w:rPr>
            </w:pPr>
          </w:p>
        </w:tc>
      </w:tr>
      <w:tr w:rsidR="004D64B2" w14:paraId="07DC1F47" w14:textId="77777777" w:rsidTr="004D64B2">
        <w:tc>
          <w:tcPr>
            <w:tcW w:w="460" w:type="dxa"/>
          </w:tcPr>
          <w:p w14:paraId="4B13A050" w14:textId="1E44E7FD" w:rsidR="004D64B2" w:rsidRDefault="004D64B2" w:rsidP="004D64B2">
            <w:r>
              <w:t>33</w:t>
            </w:r>
          </w:p>
        </w:tc>
        <w:tc>
          <w:tcPr>
            <w:tcW w:w="5953" w:type="dxa"/>
            <w:tcBorders>
              <w:top w:val="single" w:sz="6" w:space="0" w:color="auto"/>
              <w:left w:val="single" w:sz="6" w:space="0" w:color="auto"/>
              <w:bottom w:val="single" w:sz="6" w:space="0" w:color="auto"/>
              <w:right w:val="single" w:sz="6" w:space="0" w:color="auto"/>
            </w:tcBorders>
            <w:vAlign w:val="center"/>
          </w:tcPr>
          <w:p w14:paraId="4AFA061D" w14:textId="74425C2F" w:rsidR="004D64B2" w:rsidRPr="001656B0" w:rsidRDefault="004D64B2" w:rsidP="004D64B2">
            <w:pPr>
              <w:jc w:val="center"/>
              <w:rPr>
                <w:rFonts w:ascii="Arial" w:hAnsi="Arial" w:cs="Arial"/>
                <w:sz w:val="22"/>
                <w:szCs w:val="22"/>
              </w:rPr>
            </w:pPr>
            <w:r w:rsidRPr="001656B0">
              <w:rPr>
                <w:rFonts w:ascii="Arial" w:hAnsi="Arial" w:cs="Arial"/>
                <w:sz w:val="22"/>
                <w:szCs w:val="22"/>
              </w:rPr>
              <w:t>Możliwość wykonania równoczesnych operacji DML (Insert/Update/</w:t>
            </w:r>
            <w:proofErr w:type="spellStart"/>
            <w:r w:rsidRPr="001656B0">
              <w:rPr>
                <w:rFonts w:ascii="Arial" w:hAnsi="Arial" w:cs="Arial"/>
                <w:sz w:val="22"/>
                <w:szCs w:val="22"/>
              </w:rPr>
              <w:t>Delete</w:t>
            </w:r>
            <w:proofErr w:type="spellEnd"/>
            <w:r w:rsidRPr="001656B0">
              <w:rPr>
                <w:rFonts w:ascii="Arial" w:hAnsi="Arial" w:cs="Arial"/>
                <w:sz w:val="22"/>
                <w:szCs w:val="22"/>
              </w:rPr>
              <w:t>) na tej samej tabeli.</w:t>
            </w:r>
          </w:p>
        </w:tc>
        <w:tc>
          <w:tcPr>
            <w:tcW w:w="5954" w:type="dxa"/>
          </w:tcPr>
          <w:p w14:paraId="74C95355" w14:textId="77777777" w:rsidR="004D64B2" w:rsidRPr="001656B0" w:rsidRDefault="004D64B2" w:rsidP="004D64B2">
            <w:pPr>
              <w:rPr>
                <w:rFonts w:ascii="Arial" w:hAnsi="Arial" w:cs="Arial"/>
                <w:sz w:val="22"/>
                <w:szCs w:val="22"/>
              </w:rPr>
            </w:pPr>
          </w:p>
        </w:tc>
        <w:tc>
          <w:tcPr>
            <w:tcW w:w="1417" w:type="dxa"/>
          </w:tcPr>
          <w:p w14:paraId="6A8EEB0C" w14:textId="77777777" w:rsidR="004D64B2" w:rsidRPr="001656B0" w:rsidRDefault="004D64B2" w:rsidP="004D64B2">
            <w:pPr>
              <w:rPr>
                <w:rFonts w:ascii="Arial" w:hAnsi="Arial" w:cs="Arial"/>
                <w:sz w:val="22"/>
                <w:szCs w:val="22"/>
              </w:rPr>
            </w:pPr>
          </w:p>
        </w:tc>
      </w:tr>
      <w:tr w:rsidR="004D64B2" w14:paraId="60DE1C05" w14:textId="77777777" w:rsidTr="004D64B2">
        <w:tc>
          <w:tcPr>
            <w:tcW w:w="460" w:type="dxa"/>
          </w:tcPr>
          <w:p w14:paraId="1E8B2CAA" w14:textId="7DC9D49B" w:rsidR="004D64B2" w:rsidRDefault="004D64B2" w:rsidP="004D64B2">
            <w:r>
              <w:t>34</w:t>
            </w:r>
          </w:p>
        </w:tc>
        <w:tc>
          <w:tcPr>
            <w:tcW w:w="5953" w:type="dxa"/>
            <w:tcBorders>
              <w:top w:val="single" w:sz="6" w:space="0" w:color="auto"/>
              <w:left w:val="single" w:sz="6" w:space="0" w:color="auto"/>
              <w:bottom w:val="single" w:sz="6" w:space="0" w:color="auto"/>
              <w:right w:val="single" w:sz="6" w:space="0" w:color="auto"/>
            </w:tcBorders>
            <w:vAlign w:val="center"/>
          </w:tcPr>
          <w:p w14:paraId="5C3D2FFA" w14:textId="30D75A35" w:rsidR="004D64B2" w:rsidRPr="001656B0" w:rsidRDefault="004D64B2" w:rsidP="004D64B2">
            <w:pPr>
              <w:jc w:val="center"/>
              <w:rPr>
                <w:rFonts w:ascii="Arial" w:hAnsi="Arial" w:cs="Arial"/>
                <w:sz w:val="22"/>
                <w:szCs w:val="22"/>
              </w:rPr>
            </w:pPr>
            <w:r w:rsidRPr="001656B0">
              <w:rPr>
                <w:rFonts w:ascii="Arial" w:hAnsi="Arial" w:cs="Arial"/>
                <w:sz w:val="22"/>
                <w:szCs w:val="22"/>
              </w:rPr>
              <w:t>Powinna istnieć możliwość autoryzowania użytkowników bazy danych za pomocą rejestru użytkowników założonego w bazie danych bądź mechanizmu zewnętrznego w stosunku do bazy danych.</w:t>
            </w:r>
          </w:p>
        </w:tc>
        <w:tc>
          <w:tcPr>
            <w:tcW w:w="5954" w:type="dxa"/>
          </w:tcPr>
          <w:p w14:paraId="326668D5" w14:textId="77777777" w:rsidR="004D64B2" w:rsidRPr="001656B0" w:rsidRDefault="004D64B2" w:rsidP="004D64B2">
            <w:pPr>
              <w:rPr>
                <w:rFonts w:ascii="Arial" w:hAnsi="Arial" w:cs="Arial"/>
                <w:sz w:val="22"/>
                <w:szCs w:val="22"/>
              </w:rPr>
            </w:pPr>
          </w:p>
        </w:tc>
        <w:tc>
          <w:tcPr>
            <w:tcW w:w="1417" w:type="dxa"/>
          </w:tcPr>
          <w:p w14:paraId="1DD07325" w14:textId="77777777" w:rsidR="004D64B2" w:rsidRPr="001656B0" w:rsidRDefault="004D64B2" w:rsidP="004D64B2">
            <w:pPr>
              <w:rPr>
                <w:rFonts w:ascii="Arial" w:hAnsi="Arial" w:cs="Arial"/>
                <w:sz w:val="22"/>
                <w:szCs w:val="22"/>
              </w:rPr>
            </w:pPr>
          </w:p>
        </w:tc>
      </w:tr>
      <w:tr w:rsidR="004D64B2" w14:paraId="24AC60AC" w14:textId="77777777" w:rsidTr="004D64B2">
        <w:tc>
          <w:tcPr>
            <w:tcW w:w="460" w:type="dxa"/>
          </w:tcPr>
          <w:p w14:paraId="35D11CF7" w14:textId="4637B810" w:rsidR="004D64B2" w:rsidRDefault="004D64B2" w:rsidP="004D64B2">
            <w:r>
              <w:t>35</w:t>
            </w:r>
          </w:p>
        </w:tc>
        <w:tc>
          <w:tcPr>
            <w:tcW w:w="5953" w:type="dxa"/>
            <w:tcBorders>
              <w:top w:val="single" w:sz="6" w:space="0" w:color="auto"/>
              <w:left w:val="single" w:sz="6" w:space="0" w:color="auto"/>
              <w:bottom w:val="single" w:sz="6" w:space="0" w:color="auto"/>
              <w:right w:val="single" w:sz="6" w:space="0" w:color="auto"/>
            </w:tcBorders>
            <w:vAlign w:val="center"/>
          </w:tcPr>
          <w:p w14:paraId="3250F9C3" w14:textId="50AC62B8" w:rsidR="004D64B2" w:rsidRPr="001656B0" w:rsidRDefault="004D64B2" w:rsidP="004D64B2">
            <w:pPr>
              <w:jc w:val="center"/>
              <w:rPr>
                <w:rFonts w:ascii="Arial" w:hAnsi="Arial" w:cs="Arial"/>
                <w:sz w:val="22"/>
                <w:szCs w:val="22"/>
              </w:rPr>
            </w:pPr>
            <w:r w:rsidRPr="001656B0">
              <w:rPr>
                <w:rFonts w:ascii="Arial" w:hAnsi="Arial" w:cs="Arial"/>
                <w:sz w:val="22"/>
                <w:szCs w:val="22"/>
              </w:rPr>
              <w:t>Przywileje użytkowników bazy danych powinny być określane za pomocą przywilejów systemowych (np. prawo do podłączenia się do bazy danych - czyli utworzenia sesji, prawo do tworzenia tabel itd.) oraz przywilejów dostępu do obiektów aplikacyjnych (np. odczytu / modyfikacji tabeli, wykonania procedury). Baza danych powinna umożliwiać nadawanie ww. przywilejów za pośrednictwem mechanizmu grup użytkowników / ról bazodanowych. W danej chwili użytkownik może mieć aktywny dowolny podzbiór nadanych ról bazodanowych.</w:t>
            </w:r>
          </w:p>
        </w:tc>
        <w:tc>
          <w:tcPr>
            <w:tcW w:w="5954" w:type="dxa"/>
          </w:tcPr>
          <w:p w14:paraId="678A72FF" w14:textId="77777777" w:rsidR="004D64B2" w:rsidRPr="001656B0" w:rsidRDefault="004D64B2" w:rsidP="004D64B2">
            <w:pPr>
              <w:rPr>
                <w:rFonts w:ascii="Arial" w:hAnsi="Arial" w:cs="Arial"/>
                <w:sz w:val="22"/>
                <w:szCs w:val="22"/>
              </w:rPr>
            </w:pPr>
          </w:p>
        </w:tc>
        <w:tc>
          <w:tcPr>
            <w:tcW w:w="1417" w:type="dxa"/>
          </w:tcPr>
          <w:p w14:paraId="456A9394" w14:textId="77777777" w:rsidR="004D64B2" w:rsidRPr="001656B0" w:rsidRDefault="004D64B2" w:rsidP="004D64B2">
            <w:pPr>
              <w:rPr>
                <w:rFonts w:ascii="Arial" w:hAnsi="Arial" w:cs="Arial"/>
                <w:sz w:val="22"/>
                <w:szCs w:val="22"/>
              </w:rPr>
            </w:pPr>
          </w:p>
        </w:tc>
      </w:tr>
      <w:tr w:rsidR="004D64B2" w14:paraId="2232CDEF" w14:textId="77777777" w:rsidTr="004D64B2">
        <w:tc>
          <w:tcPr>
            <w:tcW w:w="460" w:type="dxa"/>
          </w:tcPr>
          <w:p w14:paraId="604591E7" w14:textId="3E8A5FE3" w:rsidR="004D64B2" w:rsidRDefault="004D64B2" w:rsidP="004D64B2">
            <w:r>
              <w:t>36</w:t>
            </w:r>
          </w:p>
        </w:tc>
        <w:tc>
          <w:tcPr>
            <w:tcW w:w="5953" w:type="dxa"/>
            <w:tcBorders>
              <w:top w:val="single" w:sz="6" w:space="0" w:color="auto"/>
              <w:left w:val="single" w:sz="6" w:space="0" w:color="auto"/>
              <w:bottom w:val="single" w:sz="6" w:space="0" w:color="auto"/>
              <w:right w:val="single" w:sz="6" w:space="0" w:color="auto"/>
            </w:tcBorders>
            <w:vAlign w:val="center"/>
          </w:tcPr>
          <w:p w14:paraId="67FB28A7" w14:textId="005400EB"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Możliwość wykonywania i katalogowania kopii bezpieczeństwa bezpośrednio przez serwer bazy danych. Możliwość zautomatyzowanego usuwania zbędnych kopii bezpieczeństwa przy zachowaniu odpowiedniej liczby kopii nadmiarowych - stosownie do założonej polityki nadmiarowości </w:t>
            </w:r>
            <w:proofErr w:type="spellStart"/>
            <w:r w:rsidRPr="001656B0">
              <w:rPr>
                <w:rFonts w:ascii="Arial" w:hAnsi="Arial" w:cs="Arial"/>
                <w:sz w:val="22"/>
                <w:szCs w:val="22"/>
              </w:rPr>
              <w:t>backup'ów</w:t>
            </w:r>
            <w:proofErr w:type="spellEnd"/>
            <w:r w:rsidRPr="001656B0">
              <w:rPr>
                <w:rFonts w:ascii="Arial" w:hAnsi="Arial" w:cs="Arial"/>
                <w:sz w:val="22"/>
                <w:szCs w:val="22"/>
              </w:rPr>
              <w:t>.</w:t>
            </w:r>
          </w:p>
        </w:tc>
        <w:tc>
          <w:tcPr>
            <w:tcW w:w="5954" w:type="dxa"/>
          </w:tcPr>
          <w:p w14:paraId="2953716D" w14:textId="77777777" w:rsidR="004D64B2" w:rsidRPr="001656B0" w:rsidRDefault="004D64B2" w:rsidP="004D64B2">
            <w:pPr>
              <w:rPr>
                <w:rFonts w:ascii="Arial" w:hAnsi="Arial" w:cs="Arial"/>
                <w:sz w:val="22"/>
                <w:szCs w:val="22"/>
              </w:rPr>
            </w:pPr>
          </w:p>
        </w:tc>
        <w:tc>
          <w:tcPr>
            <w:tcW w:w="1417" w:type="dxa"/>
          </w:tcPr>
          <w:p w14:paraId="01332583" w14:textId="77777777" w:rsidR="004D64B2" w:rsidRPr="001656B0" w:rsidRDefault="004D64B2" w:rsidP="004D64B2">
            <w:pPr>
              <w:rPr>
                <w:rFonts w:ascii="Arial" w:hAnsi="Arial" w:cs="Arial"/>
                <w:sz w:val="22"/>
                <w:szCs w:val="22"/>
              </w:rPr>
            </w:pPr>
          </w:p>
        </w:tc>
      </w:tr>
      <w:tr w:rsidR="004D64B2" w14:paraId="48ED76DF" w14:textId="77777777" w:rsidTr="004D64B2">
        <w:tc>
          <w:tcPr>
            <w:tcW w:w="460" w:type="dxa"/>
          </w:tcPr>
          <w:p w14:paraId="2C936E0C" w14:textId="1073C632" w:rsidR="004D64B2" w:rsidRDefault="004D64B2" w:rsidP="004D64B2">
            <w:r>
              <w:t>37</w:t>
            </w:r>
          </w:p>
        </w:tc>
        <w:tc>
          <w:tcPr>
            <w:tcW w:w="5953" w:type="dxa"/>
            <w:tcBorders>
              <w:top w:val="single" w:sz="6" w:space="0" w:color="auto"/>
              <w:left w:val="single" w:sz="6" w:space="0" w:color="auto"/>
              <w:bottom w:val="single" w:sz="6" w:space="0" w:color="auto"/>
              <w:right w:val="single" w:sz="6" w:space="0" w:color="auto"/>
            </w:tcBorders>
            <w:vAlign w:val="center"/>
          </w:tcPr>
          <w:p w14:paraId="2EF19B90" w14:textId="31B3E335" w:rsidR="004D64B2" w:rsidRPr="001656B0" w:rsidRDefault="004D64B2" w:rsidP="004D64B2">
            <w:pPr>
              <w:jc w:val="center"/>
              <w:rPr>
                <w:rFonts w:ascii="Arial" w:hAnsi="Arial" w:cs="Arial"/>
                <w:sz w:val="22"/>
                <w:szCs w:val="22"/>
              </w:rPr>
            </w:pPr>
            <w:r w:rsidRPr="001656B0">
              <w:rPr>
                <w:rFonts w:ascii="Arial" w:hAnsi="Arial" w:cs="Arial"/>
                <w:sz w:val="22"/>
                <w:szCs w:val="22"/>
              </w:rPr>
              <w:t>Odtwarzanie powinno umożliwiać odzyskanie stanu danych z chwili wystąpienia awarii bądź cofnąć stan bazy danych do punktu w czasie. W przypadku odtwarzania do stanu z chwili wystąpienia awarii odtwarzaniu może podlegać cała baza danych bądź pojedyncze pliki danych.</w:t>
            </w:r>
          </w:p>
        </w:tc>
        <w:tc>
          <w:tcPr>
            <w:tcW w:w="5954" w:type="dxa"/>
          </w:tcPr>
          <w:p w14:paraId="05E9B34D" w14:textId="77777777" w:rsidR="004D64B2" w:rsidRPr="001656B0" w:rsidRDefault="004D64B2" w:rsidP="004D64B2">
            <w:pPr>
              <w:rPr>
                <w:rFonts w:ascii="Arial" w:hAnsi="Arial" w:cs="Arial"/>
                <w:sz w:val="22"/>
                <w:szCs w:val="22"/>
              </w:rPr>
            </w:pPr>
          </w:p>
        </w:tc>
        <w:tc>
          <w:tcPr>
            <w:tcW w:w="1417" w:type="dxa"/>
          </w:tcPr>
          <w:p w14:paraId="719053D8" w14:textId="77777777" w:rsidR="004D64B2" w:rsidRPr="001656B0" w:rsidRDefault="004D64B2" w:rsidP="004D64B2">
            <w:pPr>
              <w:rPr>
                <w:rFonts w:ascii="Arial" w:hAnsi="Arial" w:cs="Arial"/>
                <w:sz w:val="22"/>
                <w:szCs w:val="22"/>
              </w:rPr>
            </w:pPr>
          </w:p>
        </w:tc>
      </w:tr>
      <w:tr w:rsidR="004D64B2" w14:paraId="0DFE06F2" w14:textId="77777777" w:rsidTr="004D64B2">
        <w:tc>
          <w:tcPr>
            <w:tcW w:w="460" w:type="dxa"/>
          </w:tcPr>
          <w:p w14:paraId="7EC1B2D8" w14:textId="11EC24B0" w:rsidR="004D64B2" w:rsidRDefault="004D64B2" w:rsidP="004D64B2">
            <w:r>
              <w:t>38</w:t>
            </w:r>
          </w:p>
        </w:tc>
        <w:tc>
          <w:tcPr>
            <w:tcW w:w="5953" w:type="dxa"/>
            <w:tcBorders>
              <w:top w:val="single" w:sz="6" w:space="0" w:color="auto"/>
              <w:left w:val="single" w:sz="6" w:space="0" w:color="auto"/>
              <w:bottom w:val="single" w:sz="6" w:space="0" w:color="auto"/>
              <w:right w:val="single" w:sz="6" w:space="0" w:color="auto"/>
            </w:tcBorders>
            <w:vAlign w:val="center"/>
          </w:tcPr>
          <w:p w14:paraId="67F702C0" w14:textId="5D2025B2"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Motor bazy danych na poziomie wskazanego numeru wersji wydania musi zapewnić wbudowany, własny </w:t>
            </w:r>
            <w:r w:rsidRPr="001656B0">
              <w:rPr>
                <w:rFonts w:ascii="Arial" w:hAnsi="Arial" w:cs="Arial"/>
                <w:sz w:val="22"/>
                <w:szCs w:val="22"/>
              </w:rPr>
              <w:lastRenderedPageBreak/>
              <w:t>mechanizm umożliwiający uruchomienia środowiska w konfiguracji klastrowej wykorzystującej dwa węzły jako podstawę architektury rozwiązania</w:t>
            </w:r>
          </w:p>
        </w:tc>
        <w:tc>
          <w:tcPr>
            <w:tcW w:w="5954" w:type="dxa"/>
          </w:tcPr>
          <w:p w14:paraId="0A316A60" w14:textId="77777777" w:rsidR="004D64B2" w:rsidRPr="001656B0" w:rsidRDefault="004D64B2" w:rsidP="004D64B2">
            <w:pPr>
              <w:rPr>
                <w:rFonts w:ascii="Arial" w:hAnsi="Arial" w:cs="Arial"/>
                <w:sz w:val="22"/>
                <w:szCs w:val="22"/>
              </w:rPr>
            </w:pPr>
          </w:p>
        </w:tc>
        <w:tc>
          <w:tcPr>
            <w:tcW w:w="1417" w:type="dxa"/>
          </w:tcPr>
          <w:p w14:paraId="24CAAA8F" w14:textId="77777777" w:rsidR="004D64B2" w:rsidRPr="001656B0" w:rsidRDefault="004D64B2" w:rsidP="004D64B2">
            <w:pPr>
              <w:rPr>
                <w:rFonts w:ascii="Arial" w:hAnsi="Arial" w:cs="Arial"/>
                <w:sz w:val="22"/>
                <w:szCs w:val="22"/>
              </w:rPr>
            </w:pPr>
          </w:p>
        </w:tc>
      </w:tr>
      <w:tr w:rsidR="004D64B2" w14:paraId="4386B251" w14:textId="77777777" w:rsidTr="004D64B2">
        <w:tc>
          <w:tcPr>
            <w:tcW w:w="460" w:type="dxa"/>
          </w:tcPr>
          <w:p w14:paraId="12D96E92" w14:textId="0CAF2191" w:rsidR="004D64B2" w:rsidRDefault="004D64B2" w:rsidP="004D64B2">
            <w:r>
              <w:t>39</w:t>
            </w:r>
          </w:p>
        </w:tc>
        <w:tc>
          <w:tcPr>
            <w:tcW w:w="5953" w:type="dxa"/>
            <w:tcBorders>
              <w:top w:val="single" w:sz="6" w:space="0" w:color="auto"/>
              <w:left w:val="single" w:sz="6" w:space="0" w:color="auto"/>
              <w:bottom w:val="single" w:sz="6" w:space="0" w:color="auto"/>
              <w:right w:val="single" w:sz="6" w:space="0" w:color="auto"/>
            </w:tcBorders>
            <w:vAlign w:val="center"/>
          </w:tcPr>
          <w:p w14:paraId="3A73971A" w14:textId="355303CB" w:rsidR="004D64B2" w:rsidRPr="001656B0" w:rsidRDefault="004D64B2" w:rsidP="004D64B2">
            <w:pPr>
              <w:jc w:val="center"/>
              <w:rPr>
                <w:rFonts w:ascii="Arial" w:hAnsi="Arial" w:cs="Arial"/>
                <w:sz w:val="22"/>
                <w:szCs w:val="22"/>
              </w:rPr>
            </w:pPr>
            <w:r w:rsidRPr="001656B0">
              <w:rPr>
                <w:rFonts w:ascii="Arial" w:hAnsi="Arial" w:cs="Arial"/>
                <w:sz w:val="22"/>
                <w:szCs w:val="22"/>
              </w:rPr>
              <w:t xml:space="preserve">Licencja bez ograniczeń z zapewnionym 36 miesięcznym wsparciem (gwarancją) przez producenta silnika bazy danych. aktualizacje programów, poprawek, alarmów dot. zabezpieczeń i krytycznych aktualizacji poprawek utworzonych podczas obowiązywania asysty technicznej; </w:t>
            </w:r>
            <w:r w:rsidRPr="001656B0">
              <w:rPr>
                <w:rFonts w:ascii="Arial" w:hAnsi="Arial" w:cs="Arial"/>
                <w:sz w:val="22"/>
                <w:szCs w:val="22"/>
              </w:rPr>
              <w:sym w:font="Symbol" w:char="F02D"/>
            </w:r>
            <w:r w:rsidRPr="001656B0">
              <w:rPr>
                <w:rFonts w:ascii="Arial" w:hAnsi="Arial" w:cs="Arial"/>
                <w:sz w:val="22"/>
                <w:szCs w:val="22"/>
              </w:rPr>
              <w:t xml:space="preserve"> całodobowej obsługi zgłoszeń serwisowych we wszystkie dni tygodnia; w tym możliwości dokonywania zgłoszeń serwisowych przez Internet; </w:t>
            </w:r>
            <w:r w:rsidRPr="001656B0">
              <w:rPr>
                <w:rFonts w:ascii="Arial" w:hAnsi="Arial" w:cs="Arial"/>
                <w:sz w:val="22"/>
                <w:szCs w:val="22"/>
              </w:rPr>
              <w:sym w:font="Symbol" w:char="F02D"/>
            </w:r>
            <w:r w:rsidRPr="001656B0">
              <w:rPr>
                <w:rFonts w:ascii="Arial" w:hAnsi="Arial" w:cs="Arial"/>
                <w:sz w:val="22"/>
                <w:szCs w:val="22"/>
              </w:rPr>
              <w:t xml:space="preserve"> możliwości pobrania programów korygujących do oprogramowania i ich zestawów. </w:t>
            </w:r>
            <w:r w:rsidRPr="001656B0">
              <w:rPr>
                <w:rFonts w:ascii="Arial" w:hAnsi="Arial" w:cs="Arial"/>
                <w:sz w:val="22"/>
                <w:szCs w:val="22"/>
              </w:rPr>
              <w:sym w:font="Symbol" w:char="F02D"/>
            </w:r>
            <w:r w:rsidRPr="001656B0">
              <w:rPr>
                <w:rFonts w:ascii="Arial" w:hAnsi="Arial" w:cs="Arial"/>
                <w:sz w:val="22"/>
                <w:szCs w:val="22"/>
              </w:rPr>
              <w:t xml:space="preserve"> możliwość pobierania narzędzi podwyższających wersję oprogramowania</w:t>
            </w:r>
          </w:p>
        </w:tc>
        <w:tc>
          <w:tcPr>
            <w:tcW w:w="5954" w:type="dxa"/>
          </w:tcPr>
          <w:p w14:paraId="7F78A5E5" w14:textId="77777777" w:rsidR="004D64B2" w:rsidRPr="001656B0" w:rsidRDefault="004D64B2" w:rsidP="004D64B2">
            <w:pPr>
              <w:rPr>
                <w:rFonts w:ascii="Arial" w:hAnsi="Arial" w:cs="Arial"/>
                <w:sz w:val="22"/>
                <w:szCs w:val="22"/>
              </w:rPr>
            </w:pPr>
          </w:p>
        </w:tc>
        <w:tc>
          <w:tcPr>
            <w:tcW w:w="1417" w:type="dxa"/>
          </w:tcPr>
          <w:p w14:paraId="52814025" w14:textId="77777777" w:rsidR="004D64B2" w:rsidRPr="001656B0" w:rsidRDefault="004D64B2" w:rsidP="004D64B2">
            <w:pPr>
              <w:rPr>
                <w:rFonts w:ascii="Arial" w:hAnsi="Arial" w:cs="Arial"/>
                <w:sz w:val="22"/>
                <w:szCs w:val="22"/>
              </w:rPr>
            </w:pPr>
          </w:p>
        </w:tc>
      </w:tr>
      <w:tr w:rsidR="001656B0" w14:paraId="69F7C0C9" w14:textId="77777777" w:rsidTr="00743396">
        <w:tc>
          <w:tcPr>
            <w:tcW w:w="13784" w:type="dxa"/>
            <w:gridSpan w:val="4"/>
          </w:tcPr>
          <w:p w14:paraId="406B2859" w14:textId="294A4B21" w:rsidR="001656B0" w:rsidRPr="001656B0" w:rsidRDefault="001656B0" w:rsidP="001656B0">
            <w:pPr>
              <w:jc w:val="center"/>
              <w:rPr>
                <w:rFonts w:ascii="Arial" w:hAnsi="Arial" w:cs="Arial"/>
                <w:b/>
                <w:bCs/>
                <w:sz w:val="22"/>
                <w:szCs w:val="22"/>
              </w:rPr>
            </w:pPr>
            <w:r w:rsidRPr="001656B0">
              <w:rPr>
                <w:rFonts w:ascii="Arial" w:hAnsi="Arial" w:cs="Arial"/>
                <w:b/>
                <w:bCs/>
                <w:sz w:val="22"/>
                <w:szCs w:val="22"/>
              </w:rPr>
              <w:t>Migracja i konfiguracja baz danych</w:t>
            </w:r>
          </w:p>
        </w:tc>
      </w:tr>
      <w:tr w:rsidR="001656B0" w14:paraId="740E3CD4" w14:textId="77777777" w:rsidTr="00813242">
        <w:tc>
          <w:tcPr>
            <w:tcW w:w="460" w:type="dxa"/>
            <w:tcBorders>
              <w:top w:val="single" w:sz="6" w:space="0" w:color="auto"/>
              <w:left w:val="single" w:sz="6" w:space="0" w:color="auto"/>
              <w:bottom w:val="single" w:sz="6" w:space="0" w:color="auto"/>
              <w:right w:val="single" w:sz="6" w:space="0" w:color="auto"/>
            </w:tcBorders>
            <w:vAlign w:val="center"/>
          </w:tcPr>
          <w:p w14:paraId="42C9D3FB" w14:textId="3A2E1566" w:rsidR="001656B0" w:rsidRPr="001656B0" w:rsidRDefault="001656B0" w:rsidP="001656B0">
            <w:pPr>
              <w:rPr>
                <w:rFonts w:ascii="Arial" w:hAnsi="Arial" w:cs="Arial"/>
                <w:sz w:val="22"/>
                <w:szCs w:val="22"/>
              </w:rPr>
            </w:pPr>
            <w:r w:rsidRPr="001656B0">
              <w:rPr>
                <w:rFonts w:ascii="Arial" w:eastAsia="Times New Roman" w:hAnsi="Arial" w:cs="Arial"/>
                <w:b/>
                <w:bCs/>
                <w:sz w:val="22"/>
                <w:szCs w:val="22"/>
              </w:rPr>
              <w:t>1</w:t>
            </w:r>
          </w:p>
        </w:tc>
        <w:tc>
          <w:tcPr>
            <w:tcW w:w="5953" w:type="dxa"/>
            <w:tcBorders>
              <w:top w:val="single" w:sz="6" w:space="0" w:color="auto"/>
              <w:left w:val="single" w:sz="6" w:space="0" w:color="auto"/>
              <w:bottom w:val="single" w:sz="6" w:space="0" w:color="auto"/>
              <w:right w:val="single" w:sz="6" w:space="0" w:color="auto"/>
            </w:tcBorders>
            <w:vAlign w:val="center"/>
          </w:tcPr>
          <w:p w14:paraId="14F7BF8D" w14:textId="77777777" w:rsidR="001656B0" w:rsidRPr="001656B0" w:rsidRDefault="001656B0" w:rsidP="001656B0">
            <w:pPr>
              <w:rPr>
                <w:rFonts w:ascii="Arial" w:hAnsi="Arial" w:cs="Arial"/>
                <w:sz w:val="22"/>
                <w:szCs w:val="22"/>
              </w:rPr>
            </w:pPr>
            <w:r w:rsidRPr="001656B0">
              <w:rPr>
                <w:rFonts w:ascii="Arial" w:hAnsi="Arial" w:cs="Arial"/>
                <w:sz w:val="22"/>
                <w:szCs w:val="22"/>
              </w:rPr>
              <w:t xml:space="preserve">Wykonawca zobowiązany jest do wykonania kompleksowych prac związanych z instalacją, konfiguracją, modernizacją oraz migracją środowiska bazodanowego Oracle Database 11g </w:t>
            </w:r>
            <w:proofErr w:type="spellStart"/>
            <w:r w:rsidRPr="001656B0">
              <w:rPr>
                <w:rFonts w:ascii="Arial" w:hAnsi="Arial" w:cs="Arial"/>
                <w:sz w:val="22"/>
                <w:szCs w:val="22"/>
              </w:rPr>
              <w:t>Release</w:t>
            </w:r>
            <w:proofErr w:type="spellEnd"/>
            <w:r w:rsidRPr="001656B0">
              <w:rPr>
                <w:rFonts w:ascii="Arial" w:hAnsi="Arial" w:cs="Arial"/>
                <w:sz w:val="22"/>
                <w:szCs w:val="22"/>
              </w:rPr>
              <w:t xml:space="preserve"> 11.2.0.4.0 - 64bit , w sposób zapewniający ciągłość działania systemów Zamawiającego oraz minimalizację przerw w ich dostępności.</w:t>
            </w:r>
            <w:r w:rsidRPr="001656B0">
              <w:rPr>
                <w:rFonts w:ascii="Arial" w:hAnsi="Arial" w:cs="Arial"/>
                <w:sz w:val="22"/>
                <w:szCs w:val="22"/>
              </w:rPr>
              <w:br/>
              <w:t xml:space="preserve">Bazy danych: AMMS (AMMS PLUS (HIS, EDM, LIS, ERP), PACS– </w:t>
            </w:r>
            <w:proofErr w:type="spellStart"/>
            <w:r w:rsidRPr="001656B0">
              <w:rPr>
                <w:rFonts w:ascii="Arial" w:hAnsi="Arial" w:cs="Arial"/>
                <w:sz w:val="22"/>
                <w:szCs w:val="22"/>
              </w:rPr>
              <w:t>Infinitt</w:t>
            </w:r>
            <w:proofErr w:type="spellEnd"/>
            <w:r w:rsidRPr="001656B0">
              <w:rPr>
                <w:rFonts w:ascii="Arial" w:hAnsi="Arial" w:cs="Arial"/>
                <w:sz w:val="22"/>
                <w:szCs w:val="22"/>
              </w:rPr>
              <w:t xml:space="preserve"> PACS)</w:t>
            </w:r>
          </w:p>
          <w:p w14:paraId="7F7C415C" w14:textId="77777777" w:rsidR="001656B0" w:rsidRPr="001656B0" w:rsidRDefault="001656B0" w:rsidP="001656B0">
            <w:pPr>
              <w:rPr>
                <w:rFonts w:ascii="Arial" w:hAnsi="Arial" w:cs="Arial"/>
                <w:b/>
                <w:sz w:val="22"/>
                <w:szCs w:val="22"/>
              </w:rPr>
            </w:pPr>
            <w:r w:rsidRPr="001656B0">
              <w:rPr>
                <w:rFonts w:ascii="Arial" w:hAnsi="Arial" w:cs="Arial"/>
                <w:b/>
                <w:sz w:val="22"/>
                <w:szCs w:val="22"/>
              </w:rPr>
              <w:t>Zakres prac obejmuje w szczególności:</w:t>
            </w:r>
          </w:p>
          <w:p w14:paraId="5CE46F04" w14:textId="77777777" w:rsidR="001656B0" w:rsidRPr="001656B0" w:rsidRDefault="001656B0" w:rsidP="001656B0">
            <w:pPr>
              <w:pStyle w:val="Akapitzlist"/>
              <w:numPr>
                <w:ilvl w:val="0"/>
                <w:numId w:val="5"/>
              </w:numPr>
              <w:spacing w:line="279" w:lineRule="auto"/>
              <w:rPr>
                <w:rFonts w:ascii="Arial" w:hAnsi="Arial" w:cs="Arial"/>
                <w:sz w:val="22"/>
                <w:szCs w:val="22"/>
              </w:rPr>
            </w:pPr>
            <w:r w:rsidRPr="001656B0">
              <w:rPr>
                <w:rFonts w:ascii="Arial" w:hAnsi="Arial" w:cs="Arial"/>
                <w:sz w:val="22"/>
                <w:szCs w:val="22"/>
              </w:rPr>
              <w:t>instalację oprogramowania na serwerach bazodanowych dostarczonych przez zamawiającego</w:t>
            </w:r>
          </w:p>
          <w:p w14:paraId="4283CB63" w14:textId="77777777" w:rsidR="001656B0" w:rsidRPr="001656B0" w:rsidRDefault="001656B0" w:rsidP="001656B0">
            <w:pPr>
              <w:pStyle w:val="Akapitzlist"/>
              <w:numPr>
                <w:ilvl w:val="0"/>
                <w:numId w:val="5"/>
              </w:numPr>
              <w:spacing w:line="279" w:lineRule="auto"/>
              <w:rPr>
                <w:rFonts w:ascii="Arial" w:hAnsi="Arial" w:cs="Arial"/>
                <w:sz w:val="22"/>
                <w:szCs w:val="22"/>
              </w:rPr>
            </w:pPr>
            <w:r w:rsidRPr="001656B0">
              <w:rPr>
                <w:rFonts w:ascii="Arial" w:hAnsi="Arial" w:cs="Arial"/>
                <w:sz w:val="22"/>
                <w:szCs w:val="22"/>
              </w:rPr>
              <w:lastRenderedPageBreak/>
              <w:t>konfigurację środowiska bazodanowego zgodnie z zaleceniami producenta oraz dobrymi praktykami dla środowisk produkcyjnych i medycznych,</w:t>
            </w:r>
          </w:p>
          <w:p w14:paraId="551E741F" w14:textId="77777777" w:rsidR="001656B0" w:rsidRPr="001656B0" w:rsidRDefault="001656B0" w:rsidP="001656B0">
            <w:pPr>
              <w:pStyle w:val="Akapitzlist"/>
              <w:numPr>
                <w:ilvl w:val="0"/>
                <w:numId w:val="5"/>
              </w:numPr>
              <w:spacing w:line="279" w:lineRule="auto"/>
              <w:rPr>
                <w:rFonts w:ascii="Arial" w:hAnsi="Arial" w:cs="Arial"/>
                <w:sz w:val="22"/>
                <w:szCs w:val="22"/>
              </w:rPr>
            </w:pPr>
            <w:r w:rsidRPr="001656B0">
              <w:rPr>
                <w:rFonts w:ascii="Arial" w:hAnsi="Arial" w:cs="Arial"/>
                <w:sz w:val="22"/>
                <w:szCs w:val="22"/>
              </w:rPr>
              <w:t>instalację i konfigurację dodatkowych komponentów wymaganych do prawidłowej pracy systemów HIS, ERP, EDM, LIS oraz PACS,</w:t>
            </w:r>
          </w:p>
          <w:p w14:paraId="0C59BD54" w14:textId="77777777" w:rsidR="001656B0" w:rsidRPr="001656B0" w:rsidRDefault="001656B0" w:rsidP="001656B0">
            <w:pPr>
              <w:pStyle w:val="Akapitzlist"/>
              <w:numPr>
                <w:ilvl w:val="0"/>
                <w:numId w:val="5"/>
              </w:numPr>
              <w:spacing w:line="279" w:lineRule="auto"/>
              <w:rPr>
                <w:rFonts w:ascii="Arial" w:hAnsi="Arial" w:cs="Arial"/>
                <w:sz w:val="22"/>
                <w:szCs w:val="22"/>
              </w:rPr>
            </w:pPr>
            <w:r w:rsidRPr="001656B0">
              <w:rPr>
                <w:rFonts w:ascii="Arial" w:hAnsi="Arial" w:cs="Arial"/>
                <w:sz w:val="22"/>
                <w:szCs w:val="22"/>
              </w:rPr>
              <w:t xml:space="preserve">konfigurację mechanizmów wysokiej dostępności, obejmujących redundancję, monitorowanie oraz automatyczne przełączanie </w:t>
            </w:r>
            <w:r w:rsidRPr="001656B0">
              <w:rPr>
                <w:rFonts w:ascii="Arial" w:hAnsi="Arial" w:cs="Arial"/>
                <w:b/>
                <w:bCs/>
                <w:sz w:val="22"/>
                <w:szCs w:val="22"/>
              </w:rPr>
              <w:t>na poziomie infrastruktury i środowiska systemowego</w:t>
            </w:r>
            <w:r w:rsidRPr="001656B0">
              <w:rPr>
                <w:rFonts w:ascii="Arial" w:hAnsi="Arial" w:cs="Arial"/>
                <w:sz w:val="22"/>
                <w:szCs w:val="22"/>
              </w:rPr>
              <w:t>, bez narzucania mechanizmów natywnych dla silnika bazodanowego,</w:t>
            </w:r>
          </w:p>
          <w:p w14:paraId="69C100DA" w14:textId="77777777" w:rsidR="001656B0" w:rsidRPr="001656B0" w:rsidRDefault="001656B0" w:rsidP="001656B0">
            <w:pPr>
              <w:pStyle w:val="Akapitzlist"/>
              <w:numPr>
                <w:ilvl w:val="0"/>
                <w:numId w:val="5"/>
              </w:numPr>
              <w:spacing w:line="279" w:lineRule="auto"/>
              <w:rPr>
                <w:rFonts w:ascii="Arial" w:hAnsi="Arial" w:cs="Arial"/>
                <w:sz w:val="22"/>
                <w:szCs w:val="22"/>
              </w:rPr>
            </w:pPr>
            <w:r w:rsidRPr="001656B0">
              <w:rPr>
                <w:rFonts w:ascii="Arial" w:hAnsi="Arial" w:cs="Arial"/>
                <w:sz w:val="22"/>
                <w:szCs w:val="22"/>
              </w:rPr>
              <w:t>konfigurację mechanizmów bezpieczeństwa, w tym kontroli dostępu, audytu oraz szyfrowania danych.</w:t>
            </w:r>
          </w:p>
          <w:p w14:paraId="2C4A9406" w14:textId="77777777" w:rsidR="001656B0" w:rsidRPr="001656B0" w:rsidRDefault="001656B0" w:rsidP="001656B0">
            <w:pPr>
              <w:rPr>
                <w:rFonts w:ascii="Arial" w:hAnsi="Arial" w:cs="Arial"/>
                <w:b/>
                <w:sz w:val="22"/>
                <w:szCs w:val="22"/>
              </w:rPr>
            </w:pPr>
            <w:r w:rsidRPr="001656B0">
              <w:rPr>
                <w:rFonts w:ascii="Arial" w:hAnsi="Arial" w:cs="Arial"/>
                <w:b/>
                <w:sz w:val="22"/>
                <w:szCs w:val="22"/>
              </w:rPr>
              <w:t>Migracja środowiska bazodanowego</w:t>
            </w:r>
          </w:p>
          <w:p w14:paraId="441D6214" w14:textId="77777777" w:rsidR="001656B0" w:rsidRPr="001656B0" w:rsidRDefault="001656B0" w:rsidP="001656B0">
            <w:pPr>
              <w:rPr>
                <w:rFonts w:ascii="Arial" w:hAnsi="Arial" w:cs="Arial"/>
                <w:sz w:val="22"/>
                <w:szCs w:val="22"/>
              </w:rPr>
            </w:pPr>
            <w:r w:rsidRPr="001656B0">
              <w:rPr>
                <w:rFonts w:ascii="Arial" w:hAnsi="Arial" w:cs="Arial"/>
                <w:sz w:val="22"/>
                <w:szCs w:val="22"/>
              </w:rPr>
              <w:t>Wykonawca zobowiązany jest do opracowania szczegółowego scenariusza migracji baz danych, który podlega pisemnej akceptacji Zamawiającego przed rozpoczęciem realizacji migracji.</w:t>
            </w:r>
          </w:p>
          <w:p w14:paraId="36486013" w14:textId="77777777" w:rsidR="001656B0" w:rsidRPr="001656B0" w:rsidRDefault="001656B0" w:rsidP="001656B0">
            <w:pPr>
              <w:rPr>
                <w:rFonts w:ascii="Arial" w:hAnsi="Arial" w:cs="Arial"/>
                <w:sz w:val="22"/>
                <w:szCs w:val="22"/>
              </w:rPr>
            </w:pPr>
            <w:r w:rsidRPr="001656B0">
              <w:rPr>
                <w:rFonts w:ascii="Arial" w:hAnsi="Arial" w:cs="Arial"/>
                <w:sz w:val="22"/>
                <w:szCs w:val="22"/>
              </w:rPr>
              <w:t>Migracja musi zostać przeprowadzona pomiędzy środowiskami, bez konieczności modyfikacji struktur danych oraz bez ingerencji w logikę aplikacyjną systemów HIS, ERP, EDM, LIS oraz PACS.</w:t>
            </w:r>
          </w:p>
          <w:p w14:paraId="119A8555" w14:textId="77777777" w:rsidR="001656B0" w:rsidRPr="001656B0" w:rsidRDefault="001656B0" w:rsidP="001656B0">
            <w:pPr>
              <w:rPr>
                <w:rFonts w:ascii="Arial" w:hAnsi="Arial" w:cs="Arial"/>
                <w:sz w:val="22"/>
                <w:szCs w:val="22"/>
              </w:rPr>
            </w:pPr>
            <w:r w:rsidRPr="001656B0">
              <w:rPr>
                <w:rFonts w:ascii="Arial" w:hAnsi="Arial" w:cs="Arial"/>
                <w:sz w:val="22"/>
                <w:szCs w:val="22"/>
              </w:rPr>
              <w:t>Scenariusz migracji powinien obejmować co najmniej:</w:t>
            </w:r>
          </w:p>
          <w:p w14:paraId="6FF9CBD8" w14:textId="77777777" w:rsidR="001656B0" w:rsidRPr="001656B0" w:rsidRDefault="001656B0" w:rsidP="001656B0">
            <w:pPr>
              <w:numPr>
                <w:ilvl w:val="0"/>
                <w:numId w:val="3"/>
              </w:numPr>
              <w:spacing w:line="279" w:lineRule="auto"/>
              <w:rPr>
                <w:rFonts w:ascii="Arial" w:hAnsi="Arial" w:cs="Arial"/>
                <w:sz w:val="22"/>
                <w:szCs w:val="22"/>
              </w:rPr>
            </w:pPr>
            <w:r w:rsidRPr="001656B0">
              <w:rPr>
                <w:rFonts w:ascii="Arial" w:hAnsi="Arial" w:cs="Arial"/>
                <w:sz w:val="22"/>
                <w:szCs w:val="22"/>
              </w:rPr>
              <w:t>opis środowiska źródłowego i docelowego,</w:t>
            </w:r>
          </w:p>
          <w:p w14:paraId="5D0DFFA0" w14:textId="77777777" w:rsidR="001656B0" w:rsidRPr="001656B0" w:rsidRDefault="001656B0" w:rsidP="001656B0">
            <w:pPr>
              <w:numPr>
                <w:ilvl w:val="0"/>
                <w:numId w:val="3"/>
              </w:numPr>
              <w:spacing w:line="279" w:lineRule="auto"/>
              <w:rPr>
                <w:rFonts w:ascii="Arial" w:hAnsi="Arial" w:cs="Arial"/>
                <w:sz w:val="22"/>
                <w:szCs w:val="22"/>
              </w:rPr>
            </w:pPr>
            <w:r w:rsidRPr="001656B0">
              <w:rPr>
                <w:rFonts w:ascii="Arial" w:hAnsi="Arial" w:cs="Arial"/>
                <w:sz w:val="22"/>
                <w:szCs w:val="22"/>
              </w:rPr>
              <w:t>harmonogram prac migracyjnych,</w:t>
            </w:r>
          </w:p>
          <w:p w14:paraId="7D14752A" w14:textId="77777777" w:rsidR="001656B0" w:rsidRPr="001656B0" w:rsidRDefault="001656B0" w:rsidP="001656B0">
            <w:pPr>
              <w:numPr>
                <w:ilvl w:val="0"/>
                <w:numId w:val="3"/>
              </w:numPr>
              <w:spacing w:line="279" w:lineRule="auto"/>
              <w:rPr>
                <w:rFonts w:ascii="Arial" w:hAnsi="Arial" w:cs="Arial"/>
                <w:sz w:val="22"/>
                <w:szCs w:val="22"/>
              </w:rPr>
            </w:pPr>
            <w:r w:rsidRPr="001656B0">
              <w:rPr>
                <w:rFonts w:ascii="Arial" w:hAnsi="Arial" w:cs="Arial"/>
                <w:sz w:val="22"/>
                <w:szCs w:val="22"/>
              </w:rPr>
              <w:t>określenie maksymalnego dopuszczalnego czasu niedostępności systemów,</w:t>
            </w:r>
          </w:p>
          <w:p w14:paraId="14DFB682" w14:textId="77777777" w:rsidR="001656B0" w:rsidRPr="001656B0" w:rsidRDefault="001656B0" w:rsidP="001656B0">
            <w:pPr>
              <w:numPr>
                <w:ilvl w:val="0"/>
                <w:numId w:val="3"/>
              </w:numPr>
              <w:spacing w:line="279" w:lineRule="auto"/>
              <w:rPr>
                <w:rFonts w:ascii="Arial" w:hAnsi="Arial" w:cs="Arial"/>
                <w:sz w:val="22"/>
                <w:szCs w:val="22"/>
              </w:rPr>
            </w:pPr>
            <w:r w:rsidRPr="001656B0">
              <w:rPr>
                <w:rFonts w:ascii="Arial" w:hAnsi="Arial" w:cs="Arial"/>
                <w:sz w:val="22"/>
                <w:szCs w:val="22"/>
              </w:rPr>
              <w:lastRenderedPageBreak/>
              <w:t xml:space="preserve">identyfikację </w:t>
            </w:r>
            <w:proofErr w:type="spellStart"/>
            <w:r w:rsidRPr="001656B0">
              <w:rPr>
                <w:rFonts w:ascii="Arial" w:hAnsi="Arial" w:cs="Arial"/>
                <w:sz w:val="22"/>
                <w:szCs w:val="22"/>
              </w:rPr>
              <w:t>ryzyk</w:t>
            </w:r>
            <w:proofErr w:type="spellEnd"/>
            <w:r w:rsidRPr="001656B0">
              <w:rPr>
                <w:rFonts w:ascii="Arial" w:hAnsi="Arial" w:cs="Arial"/>
                <w:sz w:val="22"/>
                <w:szCs w:val="22"/>
              </w:rPr>
              <w:t xml:space="preserve"> oraz plan ich minimalizacji,</w:t>
            </w:r>
          </w:p>
          <w:p w14:paraId="65696294" w14:textId="77777777" w:rsidR="001656B0" w:rsidRPr="001656B0" w:rsidRDefault="001656B0" w:rsidP="001656B0">
            <w:pPr>
              <w:numPr>
                <w:ilvl w:val="0"/>
                <w:numId w:val="3"/>
              </w:numPr>
              <w:spacing w:line="279" w:lineRule="auto"/>
              <w:rPr>
                <w:rFonts w:ascii="Arial" w:hAnsi="Arial" w:cs="Arial"/>
                <w:sz w:val="22"/>
                <w:szCs w:val="22"/>
              </w:rPr>
            </w:pPr>
            <w:r w:rsidRPr="001656B0">
              <w:rPr>
                <w:rFonts w:ascii="Arial" w:hAnsi="Arial" w:cs="Arial"/>
                <w:sz w:val="22"/>
                <w:szCs w:val="22"/>
              </w:rPr>
              <w:t>procedury testów powdrożeniowych,</w:t>
            </w:r>
          </w:p>
          <w:p w14:paraId="16F7C14D" w14:textId="77777777" w:rsidR="001656B0" w:rsidRPr="001656B0" w:rsidRDefault="001656B0" w:rsidP="001656B0">
            <w:pPr>
              <w:numPr>
                <w:ilvl w:val="0"/>
                <w:numId w:val="3"/>
              </w:numPr>
              <w:spacing w:line="279" w:lineRule="auto"/>
              <w:rPr>
                <w:rFonts w:ascii="Arial" w:hAnsi="Arial" w:cs="Arial"/>
                <w:sz w:val="22"/>
                <w:szCs w:val="22"/>
              </w:rPr>
            </w:pPr>
            <w:r w:rsidRPr="001656B0">
              <w:rPr>
                <w:rFonts w:ascii="Arial" w:hAnsi="Arial" w:cs="Arial"/>
                <w:sz w:val="22"/>
                <w:szCs w:val="22"/>
              </w:rPr>
              <w:t>procedurę wycofania zmian (</w:t>
            </w:r>
            <w:proofErr w:type="spellStart"/>
            <w:r w:rsidRPr="001656B0">
              <w:rPr>
                <w:rFonts w:ascii="Arial" w:hAnsi="Arial" w:cs="Arial"/>
                <w:sz w:val="22"/>
                <w:szCs w:val="22"/>
              </w:rPr>
              <w:t>rollback</w:t>
            </w:r>
            <w:proofErr w:type="spellEnd"/>
            <w:r w:rsidRPr="001656B0">
              <w:rPr>
                <w:rFonts w:ascii="Arial" w:hAnsi="Arial" w:cs="Arial"/>
                <w:sz w:val="22"/>
                <w:szCs w:val="22"/>
              </w:rPr>
              <w:t>) w przypadku niepowodzenia migracji.</w:t>
            </w:r>
          </w:p>
          <w:p w14:paraId="39BF7247" w14:textId="77777777" w:rsidR="001656B0" w:rsidRPr="001656B0" w:rsidRDefault="001656B0" w:rsidP="001656B0">
            <w:pPr>
              <w:rPr>
                <w:rFonts w:ascii="Arial" w:hAnsi="Arial" w:cs="Arial"/>
                <w:sz w:val="22"/>
                <w:szCs w:val="22"/>
              </w:rPr>
            </w:pPr>
            <w:r w:rsidRPr="001656B0">
              <w:rPr>
                <w:rFonts w:ascii="Arial" w:hAnsi="Arial" w:cs="Arial"/>
                <w:sz w:val="22"/>
                <w:szCs w:val="22"/>
              </w:rPr>
              <w:t>Migracja może zostać rozpoczęta wyłącznie po pisemnej akceptacji scenariusza migracji przez Zamawiającego.</w:t>
            </w:r>
          </w:p>
          <w:p w14:paraId="008FD654" w14:textId="77777777" w:rsidR="001656B0" w:rsidRPr="001656B0" w:rsidRDefault="001656B0" w:rsidP="001656B0">
            <w:pPr>
              <w:rPr>
                <w:rFonts w:ascii="Arial" w:hAnsi="Arial" w:cs="Arial"/>
                <w:b/>
                <w:sz w:val="22"/>
                <w:szCs w:val="22"/>
              </w:rPr>
            </w:pPr>
            <w:r w:rsidRPr="001656B0">
              <w:rPr>
                <w:rFonts w:ascii="Arial" w:hAnsi="Arial" w:cs="Arial"/>
                <w:b/>
                <w:sz w:val="22"/>
                <w:szCs w:val="22"/>
              </w:rPr>
              <w:t>Testy, walidacja i odbiór</w:t>
            </w:r>
          </w:p>
          <w:p w14:paraId="291E0166" w14:textId="77777777" w:rsidR="001656B0" w:rsidRPr="001656B0" w:rsidRDefault="001656B0" w:rsidP="001656B0">
            <w:pPr>
              <w:rPr>
                <w:rFonts w:ascii="Arial" w:hAnsi="Arial" w:cs="Arial"/>
                <w:sz w:val="22"/>
                <w:szCs w:val="22"/>
              </w:rPr>
            </w:pPr>
            <w:r w:rsidRPr="001656B0">
              <w:rPr>
                <w:rFonts w:ascii="Arial" w:hAnsi="Arial" w:cs="Arial"/>
                <w:sz w:val="22"/>
                <w:szCs w:val="22"/>
              </w:rPr>
              <w:t>Po zakończeniu prac instalacyjnych i migracyjnych Wykonawca zobowiązany jest do:</w:t>
            </w:r>
          </w:p>
          <w:p w14:paraId="7F287853" w14:textId="77777777" w:rsidR="001656B0" w:rsidRPr="001656B0" w:rsidRDefault="001656B0" w:rsidP="001656B0">
            <w:pPr>
              <w:numPr>
                <w:ilvl w:val="0"/>
                <w:numId w:val="4"/>
              </w:numPr>
              <w:spacing w:line="279" w:lineRule="auto"/>
              <w:rPr>
                <w:rFonts w:ascii="Arial" w:hAnsi="Arial" w:cs="Arial"/>
                <w:sz w:val="22"/>
                <w:szCs w:val="22"/>
              </w:rPr>
            </w:pPr>
            <w:r w:rsidRPr="001656B0">
              <w:rPr>
                <w:rFonts w:ascii="Arial" w:hAnsi="Arial" w:cs="Arial"/>
                <w:sz w:val="22"/>
                <w:szCs w:val="22"/>
              </w:rPr>
              <w:t>przeprowadzenia testów poprawności działania baz danych</w:t>
            </w:r>
          </w:p>
          <w:p w14:paraId="4E9CFE6D" w14:textId="77777777" w:rsidR="001656B0" w:rsidRPr="001656B0" w:rsidRDefault="001656B0" w:rsidP="001656B0">
            <w:pPr>
              <w:numPr>
                <w:ilvl w:val="0"/>
                <w:numId w:val="4"/>
              </w:numPr>
              <w:spacing w:line="279" w:lineRule="auto"/>
              <w:rPr>
                <w:rFonts w:ascii="Arial" w:hAnsi="Arial" w:cs="Arial"/>
                <w:sz w:val="22"/>
                <w:szCs w:val="22"/>
              </w:rPr>
            </w:pPr>
            <w:r w:rsidRPr="001656B0">
              <w:rPr>
                <w:rFonts w:ascii="Arial" w:hAnsi="Arial" w:cs="Arial"/>
                <w:sz w:val="22"/>
                <w:szCs w:val="22"/>
              </w:rPr>
              <w:t>przeprowadzenia testów poprawności działania systemów HIS, ERP, EDM, LIS oraz PACS korzystających z baz danych,</w:t>
            </w:r>
          </w:p>
          <w:p w14:paraId="77D97DFA" w14:textId="77777777" w:rsidR="001656B0" w:rsidRPr="001656B0" w:rsidRDefault="001656B0" w:rsidP="001656B0">
            <w:pPr>
              <w:numPr>
                <w:ilvl w:val="0"/>
                <w:numId w:val="4"/>
              </w:numPr>
              <w:spacing w:line="279" w:lineRule="auto"/>
              <w:rPr>
                <w:rFonts w:ascii="Arial" w:hAnsi="Arial" w:cs="Arial"/>
                <w:sz w:val="22"/>
                <w:szCs w:val="22"/>
              </w:rPr>
            </w:pPr>
            <w:r w:rsidRPr="001656B0">
              <w:rPr>
                <w:rFonts w:ascii="Arial" w:hAnsi="Arial" w:cs="Arial"/>
                <w:sz w:val="22"/>
                <w:szCs w:val="22"/>
              </w:rPr>
              <w:t>wsparcia Zamawiającego w procesie walidacji poprawności wdrożenia,</w:t>
            </w:r>
          </w:p>
          <w:p w14:paraId="6DC2CC9D" w14:textId="77777777" w:rsidR="001656B0" w:rsidRPr="001656B0" w:rsidRDefault="001656B0" w:rsidP="001656B0">
            <w:pPr>
              <w:numPr>
                <w:ilvl w:val="0"/>
                <w:numId w:val="4"/>
              </w:numPr>
              <w:spacing w:line="279" w:lineRule="auto"/>
              <w:rPr>
                <w:rFonts w:ascii="Arial" w:hAnsi="Arial" w:cs="Arial"/>
                <w:sz w:val="22"/>
                <w:szCs w:val="22"/>
              </w:rPr>
            </w:pPr>
            <w:r w:rsidRPr="001656B0">
              <w:rPr>
                <w:rFonts w:ascii="Arial" w:hAnsi="Arial" w:cs="Arial"/>
                <w:sz w:val="22"/>
                <w:szCs w:val="22"/>
              </w:rPr>
              <w:t>usunięcia ewentualnych nieprawidłowości wykrytych w trakcie testów,</w:t>
            </w:r>
          </w:p>
          <w:p w14:paraId="65309958" w14:textId="77777777" w:rsidR="001656B0" w:rsidRPr="001656B0" w:rsidRDefault="001656B0" w:rsidP="001656B0">
            <w:pPr>
              <w:numPr>
                <w:ilvl w:val="0"/>
                <w:numId w:val="4"/>
              </w:numPr>
              <w:spacing w:line="279" w:lineRule="auto"/>
              <w:rPr>
                <w:rFonts w:ascii="Arial" w:hAnsi="Arial" w:cs="Arial"/>
                <w:sz w:val="22"/>
                <w:szCs w:val="22"/>
              </w:rPr>
            </w:pPr>
            <w:r w:rsidRPr="001656B0">
              <w:rPr>
                <w:rFonts w:ascii="Arial" w:hAnsi="Arial" w:cs="Arial"/>
                <w:sz w:val="22"/>
                <w:szCs w:val="22"/>
              </w:rPr>
              <w:t>przekazania kompletnej dokumentacji powykonawczej obejmującej opis wdrożonego środowiska bazodanowego, konfiguracji oraz przeprowadzonej migracji.</w:t>
            </w:r>
          </w:p>
          <w:p w14:paraId="53D6164E" w14:textId="1477BDFB" w:rsidR="001656B0" w:rsidRPr="001656B0" w:rsidRDefault="001656B0" w:rsidP="001656B0">
            <w:pPr>
              <w:jc w:val="center"/>
              <w:rPr>
                <w:rFonts w:ascii="Arial" w:hAnsi="Arial" w:cs="Arial"/>
                <w:sz w:val="22"/>
                <w:szCs w:val="22"/>
              </w:rPr>
            </w:pPr>
            <w:r w:rsidRPr="001656B0">
              <w:rPr>
                <w:rFonts w:ascii="Arial" w:hAnsi="Arial" w:cs="Arial"/>
                <w:sz w:val="22"/>
                <w:szCs w:val="22"/>
              </w:rPr>
              <w:t>Za prawidłowe wykonanie przedmiotu zamówienia w zakresie systemu bazodanowego uznaje się zakończenie wszystkich prac, uzyskanie pozytywnych wyników testów oraz podpisanie protokołu odbioru przez Zamawiającego.</w:t>
            </w:r>
          </w:p>
        </w:tc>
        <w:tc>
          <w:tcPr>
            <w:tcW w:w="5954" w:type="dxa"/>
          </w:tcPr>
          <w:p w14:paraId="57228B2C" w14:textId="77777777" w:rsidR="001656B0" w:rsidRDefault="001656B0" w:rsidP="001656B0"/>
        </w:tc>
        <w:tc>
          <w:tcPr>
            <w:tcW w:w="1417" w:type="dxa"/>
          </w:tcPr>
          <w:p w14:paraId="6341F2D8" w14:textId="77777777" w:rsidR="001656B0" w:rsidRDefault="001656B0" w:rsidP="001656B0"/>
        </w:tc>
      </w:tr>
      <w:tr w:rsidR="001656B0" w14:paraId="1EFF7D4A" w14:textId="77777777" w:rsidTr="00813242">
        <w:tc>
          <w:tcPr>
            <w:tcW w:w="460" w:type="dxa"/>
            <w:tcBorders>
              <w:top w:val="single" w:sz="6" w:space="0" w:color="auto"/>
              <w:left w:val="single" w:sz="6" w:space="0" w:color="auto"/>
              <w:bottom w:val="single" w:sz="6" w:space="0" w:color="auto"/>
              <w:right w:val="single" w:sz="6" w:space="0" w:color="auto"/>
            </w:tcBorders>
            <w:vAlign w:val="center"/>
          </w:tcPr>
          <w:p w14:paraId="2DBE4106" w14:textId="50C00712" w:rsidR="001656B0" w:rsidRPr="001656B0" w:rsidRDefault="001656B0" w:rsidP="001656B0">
            <w:pPr>
              <w:rPr>
                <w:rFonts w:ascii="Arial" w:hAnsi="Arial" w:cs="Arial"/>
                <w:sz w:val="22"/>
                <w:szCs w:val="22"/>
              </w:rPr>
            </w:pPr>
            <w:r w:rsidRPr="001656B0">
              <w:rPr>
                <w:rFonts w:ascii="Arial" w:eastAsia="Times New Roman" w:hAnsi="Arial" w:cs="Arial"/>
                <w:b/>
                <w:bCs/>
                <w:sz w:val="22"/>
                <w:szCs w:val="22"/>
              </w:rPr>
              <w:lastRenderedPageBreak/>
              <w:t>2</w:t>
            </w:r>
          </w:p>
        </w:tc>
        <w:tc>
          <w:tcPr>
            <w:tcW w:w="5953" w:type="dxa"/>
            <w:tcBorders>
              <w:top w:val="single" w:sz="6" w:space="0" w:color="auto"/>
              <w:left w:val="single" w:sz="6" w:space="0" w:color="auto"/>
              <w:bottom w:val="single" w:sz="6" w:space="0" w:color="auto"/>
              <w:right w:val="single" w:sz="6" w:space="0" w:color="auto"/>
            </w:tcBorders>
            <w:vAlign w:val="center"/>
          </w:tcPr>
          <w:p w14:paraId="76D148A3" w14:textId="71DC22EA" w:rsidR="001656B0" w:rsidRPr="001656B0" w:rsidRDefault="001656B0" w:rsidP="001656B0">
            <w:pPr>
              <w:jc w:val="center"/>
              <w:rPr>
                <w:rFonts w:ascii="Arial" w:hAnsi="Arial" w:cs="Arial"/>
                <w:sz w:val="22"/>
                <w:szCs w:val="22"/>
              </w:rPr>
            </w:pPr>
            <w:r w:rsidRPr="001656B0">
              <w:rPr>
                <w:rFonts w:ascii="Arial" w:hAnsi="Arial" w:cs="Arial"/>
                <w:sz w:val="22"/>
                <w:szCs w:val="22"/>
              </w:rPr>
              <w:t xml:space="preserve">Konfiguracja backupu </w:t>
            </w:r>
            <w:proofErr w:type="spellStart"/>
            <w:r w:rsidRPr="001656B0">
              <w:rPr>
                <w:rFonts w:ascii="Arial" w:hAnsi="Arial" w:cs="Arial"/>
                <w:sz w:val="22"/>
                <w:szCs w:val="22"/>
              </w:rPr>
              <w:t>zmigrowanych</w:t>
            </w:r>
            <w:proofErr w:type="spellEnd"/>
            <w:r w:rsidRPr="001656B0">
              <w:rPr>
                <w:rFonts w:ascii="Arial" w:hAnsi="Arial" w:cs="Arial"/>
                <w:sz w:val="22"/>
                <w:szCs w:val="22"/>
              </w:rPr>
              <w:t xml:space="preserve"> baz danych.</w:t>
            </w:r>
          </w:p>
        </w:tc>
        <w:tc>
          <w:tcPr>
            <w:tcW w:w="5954" w:type="dxa"/>
          </w:tcPr>
          <w:p w14:paraId="55DC7DAA" w14:textId="77777777" w:rsidR="001656B0" w:rsidRDefault="001656B0" w:rsidP="001656B0"/>
        </w:tc>
        <w:tc>
          <w:tcPr>
            <w:tcW w:w="1417" w:type="dxa"/>
          </w:tcPr>
          <w:p w14:paraId="06CDC4B1" w14:textId="77777777" w:rsidR="001656B0" w:rsidRDefault="001656B0" w:rsidP="001656B0"/>
        </w:tc>
      </w:tr>
      <w:tr w:rsidR="001656B0" w14:paraId="61CE1BFD" w14:textId="77777777" w:rsidTr="00813242">
        <w:tc>
          <w:tcPr>
            <w:tcW w:w="460" w:type="dxa"/>
            <w:tcBorders>
              <w:top w:val="single" w:sz="6" w:space="0" w:color="auto"/>
              <w:left w:val="single" w:sz="6" w:space="0" w:color="auto"/>
              <w:bottom w:val="single" w:sz="6" w:space="0" w:color="auto"/>
              <w:right w:val="single" w:sz="6" w:space="0" w:color="auto"/>
            </w:tcBorders>
            <w:vAlign w:val="center"/>
          </w:tcPr>
          <w:p w14:paraId="5364D404" w14:textId="253461FF" w:rsidR="001656B0" w:rsidRPr="001656B0" w:rsidRDefault="001656B0" w:rsidP="001656B0">
            <w:pPr>
              <w:rPr>
                <w:rFonts w:ascii="Arial" w:hAnsi="Arial" w:cs="Arial"/>
                <w:sz w:val="22"/>
                <w:szCs w:val="22"/>
              </w:rPr>
            </w:pPr>
            <w:r w:rsidRPr="001656B0">
              <w:rPr>
                <w:rFonts w:ascii="Arial" w:eastAsia="Times New Roman" w:hAnsi="Arial" w:cs="Arial"/>
                <w:b/>
                <w:bCs/>
                <w:sz w:val="22"/>
                <w:szCs w:val="22"/>
              </w:rPr>
              <w:lastRenderedPageBreak/>
              <w:t>3</w:t>
            </w:r>
          </w:p>
        </w:tc>
        <w:tc>
          <w:tcPr>
            <w:tcW w:w="5953" w:type="dxa"/>
            <w:tcBorders>
              <w:top w:val="single" w:sz="6" w:space="0" w:color="auto"/>
              <w:left w:val="single" w:sz="6" w:space="0" w:color="auto"/>
              <w:bottom w:val="single" w:sz="6" w:space="0" w:color="auto"/>
              <w:right w:val="single" w:sz="6" w:space="0" w:color="auto"/>
            </w:tcBorders>
            <w:vAlign w:val="center"/>
          </w:tcPr>
          <w:p w14:paraId="65A03832" w14:textId="77777777" w:rsidR="001656B0" w:rsidRPr="001656B0" w:rsidRDefault="001656B0" w:rsidP="001656B0">
            <w:pPr>
              <w:rPr>
                <w:rFonts w:ascii="Arial" w:hAnsi="Arial" w:cs="Arial"/>
                <w:sz w:val="22"/>
                <w:szCs w:val="22"/>
              </w:rPr>
            </w:pPr>
            <w:r w:rsidRPr="001656B0">
              <w:rPr>
                <w:rFonts w:ascii="Arial" w:hAnsi="Arial" w:cs="Arial"/>
                <w:sz w:val="22"/>
                <w:szCs w:val="22"/>
              </w:rPr>
              <w:t xml:space="preserve">W zakresie </w:t>
            </w:r>
            <w:proofErr w:type="spellStart"/>
            <w:r w:rsidRPr="001656B0">
              <w:rPr>
                <w:rFonts w:ascii="Arial" w:hAnsi="Arial" w:cs="Arial"/>
                <w:sz w:val="22"/>
                <w:szCs w:val="22"/>
              </w:rPr>
              <w:t>zmigrowanych</w:t>
            </w:r>
            <w:proofErr w:type="spellEnd"/>
            <w:r w:rsidRPr="001656B0">
              <w:rPr>
                <w:rFonts w:ascii="Arial" w:hAnsi="Arial" w:cs="Arial"/>
                <w:sz w:val="22"/>
                <w:szCs w:val="22"/>
              </w:rPr>
              <w:t xml:space="preserve"> baz danych wymagane jest wsparcie gwarancyjne w zakresie:</w:t>
            </w:r>
          </w:p>
          <w:p w14:paraId="4E98B7B8" w14:textId="77777777" w:rsidR="001656B0" w:rsidRPr="001656B0" w:rsidRDefault="001656B0" w:rsidP="001656B0">
            <w:pPr>
              <w:numPr>
                <w:ilvl w:val="0"/>
                <w:numId w:val="6"/>
              </w:numPr>
              <w:suppressAutoHyphens/>
              <w:autoSpaceDN w:val="0"/>
              <w:rPr>
                <w:rFonts w:ascii="Arial" w:hAnsi="Arial" w:cs="Arial"/>
                <w:sz w:val="22"/>
                <w:szCs w:val="22"/>
              </w:rPr>
            </w:pPr>
            <w:r w:rsidRPr="001656B0">
              <w:rPr>
                <w:rFonts w:ascii="Arial" w:hAnsi="Arial" w:cs="Arial"/>
                <w:sz w:val="22"/>
                <w:szCs w:val="22"/>
              </w:rPr>
              <w:t xml:space="preserve">Aktualizacje systemów operacyjnych baz danych </w:t>
            </w:r>
          </w:p>
          <w:p w14:paraId="53CCFAB7" w14:textId="77777777" w:rsidR="001656B0" w:rsidRPr="001656B0" w:rsidRDefault="001656B0" w:rsidP="001656B0">
            <w:pPr>
              <w:numPr>
                <w:ilvl w:val="0"/>
                <w:numId w:val="6"/>
              </w:numPr>
              <w:suppressAutoHyphens/>
              <w:autoSpaceDN w:val="0"/>
              <w:rPr>
                <w:rFonts w:ascii="Arial" w:hAnsi="Arial" w:cs="Arial"/>
                <w:sz w:val="22"/>
                <w:szCs w:val="22"/>
              </w:rPr>
            </w:pPr>
            <w:r w:rsidRPr="001656B0">
              <w:rPr>
                <w:rFonts w:ascii="Arial" w:hAnsi="Arial" w:cs="Arial"/>
                <w:sz w:val="22"/>
                <w:szCs w:val="22"/>
              </w:rPr>
              <w:t xml:space="preserve">Aktualizacje silnika bazy danych  </w:t>
            </w:r>
          </w:p>
          <w:p w14:paraId="79BB1565" w14:textId="77777777" w:rsidR="001656B0" w:rsidRPr="001656B0" w:rsidRDefault="001656B0" w:rsidP="001656B0">
            <w:pPr>
              <w:numPr>
                <w:ilvl w:val="0"/>
                <w:numId w:val="6"/>
              </w:numPr>
              <w:suppressAutoHyphens/>
              <w:autoSpaceDN w:val="0"/>
              <w:rPr>
                <w:rFonts w:ascii="Arial" w:hAnsi="Arial" w:cs="Arial"/>
                <w:sz w:val="22"/>
                <w:szCs w:val="22"/>
              </w:rPr>
            </w:pPr>
            <w:r w:rsidRPr="001656B0">
              <w:rPr>
                <w:rFonts w:ascii="Arial" w:hAnsi="Arial" w:cs="Arial"/>
                <w:sz w:val="22"/>
                <w:szCs w:val="22"/>
              </w:rPr>
              <w:t xml:space="preserve">Aktualizacje i instalacje łatek bezpieczeństwa. </w:t>
            </w:r>
          </w:p>
          <w:p w14:paraId="1930B882" w14:textId="77777777" w:rsidR="001656B0" w:rsidRPr="001656B0" w:rsidRDefault="001656B0" w:rsidP="001656B0">
            <w:pPr>
              <w:numPr>
                <w:ilvl w:val="0"/>
                <w:numId w:val="6"/>
              </w:numPr>
              <w:suppressAutoHyphens/>
              <w:autoSpaceDN w:val="0"/>
              <w:rPr>
                <w:rFonts w:ascii="Arial" w:hAnsi="Arial" w:cs="Arial"/>
                <w:sz w:val="22"/>
                <w:szCs w:val="22"/>
              </w:rPr>
            </w:pPr>
            <w:r w:rsidRPr="001656B0">
              <w:rPr>
                <w:rFonts w:ascii="Arial" w:hAnsi="Arial" w:cs="Arial"/>
                <w:sz w:val="22"/>
                <w:szCs w:val="22"/>
              </w:rPr>
              <w:t xml:space="preserve">Monitoring i cykliczne testy wydajności mające na celu identyfikowanie i usuwanie spowolnień i problemów. </w:t>
            </w:r>
          </w:p>
          <w:p w14:paraId="7D230D98" w14:textId="77777777" w:rsidR="001656B0" w:rsidRPr="001656B0" w:rsidRDefault="001656B0" w:rsidP="001656B0">
            <w:pPr>
              <w:numPr>
                <w:ilvl w:val="0"/>
                <w:numId w:val="6"/>
              </w:numPr>
              <w:suppressAutoHyphens/>
              <w:autoSpaceDN w:val="0"/>
              <w:rPr>
                <w:rFonts w:ascii="Arial" w:hAnsi="Arial" w:cs="Arial"/>
                <w:sz w:val="22"/>
                <w:szCs w:val="22"/>
              </w:rPr>
            </w:pPr>
            <w:r w:rsidRPr="001656B0">
              <w:rPr>
                <w:rFonts w:ascii="Arial" w:hAnsi="Arial" w:cs="Arial"/>
                <w:sz w:val="22"/>
                <w:szCs w:val="22"/>
              </w:rPr>
              <w:t xml:space="preserve">Strojenie baz danych. </w:t>
            </w:r>
          </w:p>
          <w:p w14:paraId="44CD6D2A" w14:textId="77777777" w:rsidR="001656B0" w:rsidRPr="001656B0" w:rsidRDefault="001656B0" w:rsidP="001656B0">
            <w:pPr>
              <w:numPr>
                <w:ilvl w:val="0"/>
                <w:numId w:val="6"/>
              </w:numPr>
              <w:suppressAutoHyphens/>
              <w:autoSpaceDN w:val="0"/>
              <w:rPr>
                <w:rFonts w:ascii="Arial" w:hAnsi="Arial" w:cs="Arial"/>
                <w:sz w:val="22"/>
                <w:szCs w:val="22"/>
              </w:rPr>
            </w:pPr>
            <w:r w:rsidRPr="001656B0">
              <w:rPr>
                <w:rFonts w:ascii="Arial" w:hAnsi="Arial" w:cs="Arial"/>
                <w:sz w:val="22"/>
                <w:szCs w:val="22"/>
              </w:rPr>
              <w:t xml:space="preserve">Usuwanie awarii bazy danych. </w:t>
            </w:r>
          </w:p>
          <w:p w14:paraId="17E1C24C" w14:textId="77777777" w:rsidR="001656B0" w:rsidRPr="001656B0" w:rsidRDefault="001656B0" w:rsidP="001656B0">
            <w:pPr>
              <w:rPr>
                <w:rFonts w:ascii="Arial" w:hAnsi="Arial" w:cs="Arial"/>
                <w:sz w:val="22"/>
                <w:szCs w:val="22"/>
              </w:rPr>
            </w:pPr>
            <w:r w:rsidRPr="001656B0">
              <w:rPr>
                <w:rFonts w:ascii="Arial" w:hAnsi="Arial" w:cs="Arial"/>
                <w:sz w:val="22"/>
                <w:szCs w:val="22"/>
              </w:rPr>
              <w:t>Testy odtworzeniowe baz danych min. 1 raz w miesiącu. Wykonawca zobowiązany jest do podjęcia realizacji czynności serwisowych w ciągu maksymalnie 1 dnia roboczego od poniedziałku do piątku w godz. od 8.00-16.00 oraz przywrócenia pierwotnej funkcjonalności urządzeń (czas naprawy) w ciągu maksymalnie 5 dni roboczych od poniedziałku do piątku w godz. od 8.00-16.00 od momentu zgłoszenia awarii przy czym jeśli zgłoszenie następuje w dniu poprzedzającym dzień wolny  od pracy po godz. 15.00, czas naprawy liczony jest od następnego dnia roboczego; Helpdesk telefoniczny dostępny od poniedziałku do piątku w czasie godzin roboczych 8.00-16.00 /wyłączając dni ustawowo wolne od pracy.</w:t>
            </w:r>
          </w:p>
          <w:p w14:paraId="5E269064" w14:textId="4AE78F83" w:rsidR="001656B0" w:rsidRPr="001656B0" w:rsidRDefault="001656B0" w:rsidP="001656B0">
            <w:pPr>
              <w:jc w:val="center"/>
              <w:rPr>
                <w:rFonts w:ascii="Arial" w:hAnsi="Arial" w:cs="Arial"/>
                <w:sz w:val="22"/>
                <w:szCs w:val="22"/>
              </w:rPr>
            </w:pPr>
            <w:r w:rsidRPr="001656B0">
              <w:rPr>
                <w:rFonts w:ascii="Arial" w:hAnsi="Arial" w:cs="Arial"/>
                <w:sz w:val="22"/>
                <w:szCs w:val="22"/>
              </w:rPr>
              <w:t>Wsparcie techniczne w okresie 36 miesięcy</w:t>
            </w:r>
          </w:p>
        </w:tc>
        <w:tc>
          <w:tcPr>
            <w:tcW w:w="5954" w:type="dxa"/>
          </w:tcPr>
          <w:p w14:paraId="087E3E99" w14:textId="77777777" w:rsidR="001656B0" w:rsidRDefault="001656B0" w:rsidP="001656B0"/>
        </w:tc>
        <w:tc>
          <w:tcPr>
            <w:tcW w:w="1417" w:type="dxa"/>
          </w:tcPr>
          <w:p w14:paraId="6E342721" w14:textId="77777777" w:rsidR="001656B0" w:rsidRDefault="001656B0" w:rsidP="001656B0"/>
        </w:tc>
      </w:tr>
      <w:tr w:rsidR="001656B0" w14:paraId="10A5E7A0" w14:textId="77777777" w:rsidTr="00255856">
        <w:tc>
          <w:tcPr>
            <w:tcW w:w="13784" w:type="dxa"/>
            <w:gridSpan w:val="4"/>
            <w:tcBorders>
              <w:top w:val="single" w:sz="6" w:space="0" w:color="auto"/>
              <w:left w:val="single" w:sz="6" w:space="0" w:color="auto"/>
              <w:bottom w:val="single" w:sz="6" w:space="0" w:color="auto"/>
            </w:tcBorders>
            <w:vAlign w:val="center"/>
          </w:tcPr>
          <w:p w14:paraId="18BFC99A" w14:textId="7D90DDBD" w:rsidR="001656B0" w:rsidRPr="001656B0" w:rsidRDefault="001656B0" w:rsidP="001656B0">
            <w:pPr>
              <w:jc w:val="center"/>
              <w:rPr>
                <w:rFonts w:ascii="Arial" w:hAnsi="Arial" w:cs="Arial"/>
                <w:b/>
                <w:bCs/>
                <w:sz w:val="22"/>
                <w:szCs w:val="22"/>
              </w:rPr>
            </w:pPr>
            <w:r w:rsidRPr="001656B0">
              <w:rPr>
                <w:rFonts w:ascii="Arial" w:hAnsi="Arial" w:cs="Arial"/>
                <w:b/>
                <w:bCs/>
                <w:sz w:val="22"/>
                <w:szCs w:val="22"/>
              </w:rPr>
              <w:t>Dokumentacja</w:t>
            </w:r>
          </w:p>
        </w:tc>
      </w:tr>
      <w:tr w:rsidR="001656B0" w14:paraId="458C1290" w14:textId="77777777" w:rsidTr="00813242">
        <w:tc>
          <w:tcPr>
            <w:tcW w:w="460" w:type="dxa"/>
            <w:tcBorders>
              <w:top w:val="single" w:sz="6" w:space="0" w:color="auto"/>
              <w:left w:val="single" w:sz="6" w:space="0" w:color="auto"/>
              <w:bottom w:val="single" w:sz="6" w:space="0" w:color="auto"/>
              <w:right w:val="single" w:sz="6" w:space="0" w:color="auto"/>
            </w:tcBorders>
            <w:vAlign w:val="center"/>
          </w:tcPr>
          <w:p w14:paraId="2500CA36" w14:textId="5E42E6EF" w:rsidR="001656B0" w:rsidRPr="001656B0" w:rsidRDefault="001656B0" w:rsidP="001656B0">
            <w:pPr>
              <w:rPr>
                <w:rFonts w:ascii="Arial" w:eastAsia="Times New Roman" w:hAnsi="Arial" w:cs="Arial"/>
                <w:b/>
                <w:bCs/>
                <w:sz w:val="22"/>
                <w:szCs w:val="22"/>
              </w:rPr>
            </w:pPr>
            <w:r>
              <w:rPr>
                <w:rFonts w:ascii="Arial" w:eastAsia="Times New Roman" w:hAnsi="Arial" w:cs="Arial"/>
                <w:b/>
                <w:bCs/>
                <w:sz w:val="22"/>
                <w:szCs w:val="22"/>
              </w:rPr>
              <w:t>1.</w:t>
            </w:r>
          </w:p>
        </w:tc>
        <w:tc>
          <w:tcPr>
            <w:tcW w:w="5953" w:type="dxa"/>
            <w:tcBorders>
              <w:top w:val="single" w:sz="6" w:space="0" w:color="auto"/>
              <w:left w:val="single" w:sz="6" w:space="0" w:color="auto"/>
              <w:bottom w:val="single" w:sz="6" w:space="0" w:color="auto"/>
              <w:right w:val="single" w:sz="6" w:space="0" w:color="auto"/>
            </w:tcBorders>
            <w:vAlign w:val="center"/>
          </w:tcPr>
          <w:p w14:paraId="1ECEEBCC" w14:textId="77777777" w:rsidR="001656B0" w:rsidRPr="001656B0" w:rsidRDefault="001656B0" w:rsidP="001656B0">
            <w:pPr>
              <w:rPr>
                <w:rFonts w:ascii="Arial" w:hAnsi="Arial" w:cs="Arial"/>
                <w:sz w:val="22"/>
                <w:szCs w:val="22"/>
              </w:rPr>
            </w:pPr>
            <w:r w:rsidRPr="001656B0">
              <w:rPr>
                <w:rFonts w:ascii="Arial" w:hAnsi="Arial" w:cs="Arial"/>
                <w:sz w:val="22"/>
                <w:szCs w:val="22"/>
              </w:rPr>
              <w:tab/>
              <w:t>Wykonawca dostarczy pełną dokumentację powykonawczą która nie tylko potwierdza wykonanie prac, ale stanowi podstawę dla przyszłego wsparcia technicznego i audytów licencyjnych.</w:t>
            </w:r>
          </w:p>
          <w:p w14:paraId="0338A69D" w14:textId="77777777" w:rsidR="001656B0" w:rsidRPr="001656B0" w:rsidRDefault="001656B0" w:rsidP="001656B0">
            <w:pPr>
              <w:rPr>
                <w:rFonts w:ascii="Arial" w:hAnsi="Arial" w:cs="Arial"/>
                <w:sz w:val="22"/>
                <w:szCs w:val="22"/>
              </w:rPr>
            </w:pPr>
            <w:r w:rsidRPr="001656B0">
              <w:rPr>
                <w:rFonts w:ascii="Arial" w:hAnsi="Arial" w:cs="Arial"/>
                <w:sz w:val="22"/>
                <w:szCs w:val="22"/>
              </w:rPr>
              <w:t>Dokumentacja minimum musi zawierać</w:t>
            </w:r>
          </w:p>
          <w:p w14:paraId="2F5C7CAC" w14:textId="77777777" w:rsidR="001656B0" w:rsidRPr="001656B0" w:rsidRDefault="001656B0" w:rsidP="001656B0">
            <w:pPr>
              <w:rPr>
                <w:rFonts w:ascii="Arial" w:hAnsi="Arial" w:cs="Arial"/>
                <w:sz w:val="22"/>
                <w:szCs w:val="22"/>
              </w:rPr>
            </w:pPr>
            <w:r w:rsidRPr="001656B0">
              <w:rPr>
                <w:rFonts w:ascii="Arial" w:hAnsi="Arial" w:cs="Arial"/>
                <w:sz w:val="22"/>
                <w:szCs w:val="22"/>
              </w:rPr>
              <w:lastRenderedPageBreak/>
              <w:t>1.</w:t>
            </w:r>
            <w:r w:rsidRPr="001656B0">
              <w:rPr>
                <w:rFonts w:ascii="Arial" w:hAnsi="Arial" w:cs="Arial"/>
                <w:sz w:val="22"/>
                <w:szCs w:val="22"/>
              </w:rPr>
              <w:tab/>
              <w:t>Potwierdzenie Zgodności Licencyjnej, Metryka licencjonowania, Inwentaryzacja sprzętu, informację o metodzie pobierania poprawek</w:t>
            </w:r>
          </w:p>
          <w:p w14:paraId="0A27AFB3" w14:textId="77777777" w:rsidR="001656B0" w:rsidRPr="001656B0" w:rsidRDefault="001656B0" w:rsidP="001656B0">
            <w:pPr>
              <w:rPr>
                <w:rFonts w:ascii="Arial" w:hAnsi="Arial" w:cs="Arial"/>
                <w:sz w:val="22"/>
                <w:szCs w:val="22"/>
              </w:rPr>
            </w:pPr>
            <w:r w:rsidRPr="001656B0">
              <w:rPr>
                <w:rFonts w:ascii="Arial" w:hAnsi="Arial" w:cs="Arial"/>
                <w:sz w:val="22"/>
                <w:szCs w:val="22"/>
              </w:rPr>
              <w:t>2.</w:t>
            </w:r>
            <w:r w:rsidRPr="001656B0">
              <w:rPr>
                <w:rFonts w:ascii="Arial" w:hAnsi="Arial" w:cs="Arial"/>
                <w:sz w:val="22"/>
                <w:szCs w:val="22"/>
              </w:rPr>
              <w:tab/>
              <w:t>Architektura Systemu i Instalacja</w:t>
            </w:r>
          </w:p>
          <w:p w14:paraId="2F8C2F02" w14:textId="77777777" w:rsidR="001656B0" w:rsidRPr="001656B0" w:rsidRDefault="001656B0" w:rsidP="001656B0">
            <w:pPr>
              <w:rPr>
                <w:rFonts w:ascii="Arial" w:hAnsi="Arial" w:cs="Arial"/>
                <w:sz w:val="22"/>
                <w:szCs w:val="22"/>
              </w:rPr>
            </w:pPr>
            <w:r w:rsidRPr="001656B0">
              <w:rPr>
                <w:rFonts w:ascii="Arial" w:hAnsi="Arial" w:cs="Arial"/>
                <w:sz w:val="22"/>
                <w:szCs w:val="22"/>
              </w:rPr>
              <w:t>3.</w:t>
            </w:r>
            <w:r w:rsidRPr="001656B0">
              <w:rPr>
                <w:rFonts w:ascii="Arial" w:hAnsi="Arial" w:cs="Arial"/>
                <w:sz w:val="22"/>
                <w:szCs w:val="22"/>
              </w:rPr>
              <w:tab/>
              <w:t xml:space="preserve">Raport z Migracji: Opis metody migracji, status obiektów (Porównanie liczby obiektów (tabele, indeksy, procedury) przed i po migracji. Raport z kompilacji obiektów (brak błędnych obiektów INVALID). Kluczowe zmiany w konfiguracji np. </w:t>
            </w:r>
            <w:proofErr w:type="spellStart"/>
            <w:r w:rsidRPr="001656B0">
              <w:rPr>
                <w:rFonts w:ascii="Arial" w:hAnsi="Arial" w:cs="Arial"/>
                <w:sz w:val="22"/>
                <w:szCs w:val="22"/>
              </w:rPr>
              <w:t>Character</w:t>
            </w:r>
            <w:proofErr w:type="spellEnd"/>
            <w:r w:rsidRPr="001656B0">
              <w:rPr>
                <w:rFonts w:ascii="Arial" w:hAnsi="Arial" w:cs="Arial"/>
                <w:sz w:val="22"/>
                <w:szCs w:val="22"/>
              </w:rPr>
              <w:t xml:space="preserve"> Set</w:t>
            </w:r>
          </w:p>
          <w:p w14:paraId="2FF4366B" w14:textId="77777777" w:rsidR="001656B0" w:rsidRPr="001656B0" w:rsidRDefault="001656B0" w:rsidP="001656B0">
            <w:pPr>
              <w:rPr>
                <w:rFonts w:ascii="Arial" w:hAnsi="Arial" w:cs="Arial"/>
                <w:sz w:val="22"/>
                <w:szCs w:val="22"/>
              </w:rPr>
            </w:pPr>
            <w:r w:rsidRPr="001656B0">
              <w:rPr>
                <w:rFonts w:ascii="Arial" w:hAnsi="Arial" w:cs="Arial"/>
                <w:sz w:val="22"/>
                <w:szCs w:val="22"/>
              </w:rPr>
              <w:t>4.</w:t>
            </w:r>
            <w:r w:rsidRPr="001656B0">
              <w:rPr>
                <w:rFonts w:ascii="Arial" w:hAnsi="Arial" w:cs="Arial"/>
                <w:sz w:val="22"/>
                <w:szCs w:val="22"/>
              </w:rPr>
              <w:tab/>
              <w:t>Polityka Backupów</w:t>
            </w:r>
          </w:p>
          <w:p w14:paraId="46D886C7" w14:textId="77777777" w:rsidR="001656B0" w:rsidRPr="001656B0" w:rsidRDefault="001656B0" w:rsidP="001656B0">
            <w:pPr>
              <w:rPr>
                <w:rFonts w:ascii="Arial" w:hAnsi="Arial" w:cs="Arial"/>
                <w:sz w:val="22"/>
                <w:szCs w:val="22"/>
              </w:rPr>
            </w:pPr>
            <w:r w:rsidRPr="001656B0">
              <w:rPr>
                <w:rFonts w:ascii="Arial" w:hAnsi="Arial" w:cs="Arial"/>
                <w:sz w:val="22"/>
                <w:szCs w:val="22"/>
              </w:rPr>
              <w:t>5.</w:t>
            </w:r>
            <w:r w:rsidRPr="001656B0">
              <w:rPr>
                <w:rFonts w:ascii="Arial" w:hAnsi="Arial" w:cs="Arial"/>
                <w:sz w:val="22"/>
                <w:szCs w:val="22"/>
              </w:rPr>
              <w:tab/>
              <w:t>Monitoring</w:t>
            </w:r>
          </w:p>
          <w:p w14:paraId="7BB76D4F" w14:textId="77777777" w:rsidR="001656B0" w:rsidRPr="001656B0" w:rsidRDefault="001656B0" w:rsidP="001656B0">
            <w:pPr>
              <w:rPr>
                <w:rFonts w:ascii="Arial" w:hAnsi="Arial" w:cs="Arial"/>
                <w:sz w:val="22"/>
                <w:szCs w:val="22"/>
              </w:rPr>
            </w:pPr>
            <w:r w:rsidRPr="001656B0">
              <w:rPr>
                <w:rFonts w:ascii="Arial" w:hAnsi="Arial" w:cs="Arial"/>
                <w:sz w:val="22"/>
                <w:szCs w:val="22"/>
              </w:rPr>
              <w:t>6.</w:t>
            </w:r>
            <w:r w:rsidRPr="001656B0">
              <w:rPr>
                <w:rFonts w:ascii="Arial" w:hAnsi="Arial" w:cs="Arial"/>
                <w:sz w:val="22"/>
                <w:szCs w:val="22"/>
              </w:rPr>
              <w:tab/>
              <w:t>Skrypty startowe</w:t>
            </w:r>
          </w:p>
          <w:p w14:paraId="46E97AEA" w14:textId="77777777" w:rsidR="001656B0" w:rsidRPr="001656B0" w:rsidRDefault="001656B0" w:rsidP="001656B0">
            <w:pPr>
              <w:rPr>
                <w:rFonts w:ascii="Arial" w:hAnsi="Arial" w:cs="Arial"/>
                <w:sz w:val="22"/>
                <w:szCs w:val="22"/>
              </w:rPr>
            </w:pPr>
            <w:r w:rsidRPr="001656B0">
              <w:rPr>
                <w:rFonts w:ascii="Arial" w:hAnsi="Arial" w:cs="Arial"/>
                <w:sz w:val="22"/>
                <w:szCs w:val="22"/>
              </w:rPr>
              <w:t>7.</w:t>
            </w:r>
            <w:r w:rsidRPr="001656B0">
              <w:rPr>
                <w:rFonts w:ascii="Arial" w:hAnsi="Arial" w:cs="Arial"/>
                <w:sz w:val="22"/>
                <w:szCs w:val="22"/>
              </w:rPr>
              <w:tab/>
              <w:t>Konta i Hasła</w:t>
            </w:r>
          </w:p>
          <w:p w14:paraId="061D4FBC" w14:textId="77777777" w:rsidR="001656B0" w:rsidRPr="001656B0" w:rsidRDefault="001656B0" w:rsidP="001656B0">
            <w:pPr>
              <w:rPr>
                <w:rFonts w:ascii="Arial" w:hAnsi="Arial" w:cs="Arial"/>
                <w:sz w:val="22"/>
                <w:szCs w:val="22"/>
              </w:rPr>
            </w:pPr>
            <w:r w:rsidRPr="001656B0">
              <w:rPr>
                <w:rFonts w:ascii="Arial" w:hAnsi="Arial" w:cs="Arial"/>
                <w:sz w:val="22"/>
                <w:szCs w:val="22"/>
              </w:rPr>
              <w:t>8.</w:t>
            </w:r>
            <w:r w:rsidRPr="001656B0">
              <w:rPr>
                <w:rFonts w:ascii="Arial" w:hAnsi="Arial" w:cs="Arial"/>
                <w:sz w:val="22"/>
                <w:szCs w:val="22"/>
              </w:rPr>
              <w:tab/>
              <w:t>Zasady działania wysokiej dostępności</w:t>
            </w:r>
          </w:p>
          <w:p w14:paraId="2A5A3509" w14:textId="2D8881EA" w:rsidR="001656B0" w:rsidRPr="001656B0" w:rsidRDefault="001656B0" w:rsidP="001656B0">
            <w:pPr>
              <w:rPr>
                <w:rFonts w:ascii="Arial" w:hAnsi="Arial" w:cs="Arial"/>
                <w:sz w:val="22"/>
                <w:szCs w:val="22"/>
              </w:rPr>
            </w:pPr>
            <w:r w:rsidRPr="001656B0">
              <w:rPr>
                <w:rFonts w:ascii="Arial" w:hAnsi="Arial" w:cs="Arial"/>
                <w:sz w:val="22"/>
                <w:szCs w:val="22"/>
              </w:rPr>
              <w:t>9.</w:t>
            </w:r>
            <w:r w:rsidRPr="001656B0">
              <w:rPr>
                <w:rFonts w:ascii="Arial" w:hAnsi="Arial" w:cs="Arial"/>
                <w:sz w:val="22"/>
                <w:szCs w:val="22"/>
              </w:rPr>
              <w:tab/>
              <w:t>Potwierdzenia przeprowadzanie testów</w:t>
            </w:r>
          </w:p>
        </w:tc>
        <w:tc>
          <w:tcPr>
            <w:tcW w:w="5954" w:type="dxa"/>
          </w:tcPr>
          <w:p w14:paraId="61B175AE" w14:textId="77777777" w:rsidR="001656B0" w:rsidRDefault="001656B0" w:rsidP="001656B0"/>
        </w:tc>
        <w:tc>
          <w:tcPr>
            <w:tcW w:w="1417" w:type="dxa"/>
          </w:tcPr>
          <w:p w14:paraId="6FFC8520" w14:textId="77777777" w:rsidR="001656B0" w:rsidRDefault="001656B0" w:rsidP="001656B0"/>
        </w:tc>
      </w:tr>
    </w:tbl>
    <w:p w14:paraId="712AF31E" w14:textId="77777777" w:rsidR="00E14D70" w:rsidRDefault="00E14D70"/>
    <w:p w14:paraId="16FCC102"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Wykonawca oświadcza, iż dostarczone oprogramowanie jest zgodne z obowiązującymi normami i będzie posiadać wymagane atesty, certyfikaty, aprobaty techniczne, deklaracje zgodności, świadectwa bezpieczeństwa, homologacje</w:t>
      </w:r>
    </w:p>
    <w:p w14:paraId="79851854"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 xml:space="preserve">Wykonawca zobowiązany jest do dostarczenia Zamawiającemu przedmiotu zamówienia w pełnym zakresie rzeczowym na własny koszt i ryzyko. </w:t>
      </w:r>
    </w:p>
    <w:p w14:paraId="02034DF9"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Wykonawca oświadcza, że oprogramowanie stanowiące przedmiot zamówienia lub jego komponent jest fabrycznie nowy, i w najnowszej wersji</w:t>
      </w:r>
    </w:p>
    <w:p w14:paraId="53D2FBE2"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 xml:space="preserve">Oferowane przez Wykonawcę oprogramowanie musi odpowiadać minimalnym parametrom technicznym, jakościowym i funkcjonalnym oraz nie może być gorszy technicznie i jakościowo niż podano w opisie przedmiotu zamówienia a jego zastosowanie w żaden sposób nie wpłynie negatywnie na prawidłowe działanie rozwiązań technicznych/funkcjonalnych przewidzianych w opisanych parametrach. </w:t>
      </w:r>
    </w:p>
    <w:p w14:paraId="6015F04F"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 xml:space="preserve">Wykonawca zobowiązany jest przekazać Zamawiającemu najpóźniej na 5 dni przed zgłoszeniem gotowości do odbioru dostawy przedmiotu zamówienia pełną dokumentację, m. in. karty gwarancyjne, instrukcje obsługi, aprobaty techniczne, certyfikaty, itp. oraz wszelkie niezbędne dokumenty wymagane przy tego typu oprogramowaniu, wskazane w opisie przedmiotu zamówienia w poszczególnych wierszach tabeli. </w:t>
      </w:r>
    </w:p>
    <w:p w14:paraId="44B0E40F"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 xml:space="preserve">W momencie oferowania wszystkie elementy oferowanej architektury muszą być dostępne (dostarczane) przez producenta. </w:t>
      </w:r>
    </w:p>
    <w:p w14:paraId="5129F9BA"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Wszelkie użyte nazwy własne producentów należy traktować informacyjnie, dopuszczona jest możliwość zastosowania technologii w inny sposób zapewniający wszystkie poniższe funkcjonalności.</w:t>
      </w:r>
    </w:p>
    <w:p w14:paraId="525E2C16" w14:textId="77777777" w:rsidR="0028533D" w:rsidRPr="0028533D" w:rsidRDefault="0028533D" w:rsidP="0028533D">
      <w:pPr>
        <w:numPr>
          <w:ilvl w:val="0"/>
          <w:numId w:val="2"/>
        </w:numPr>
        <w:spacing w:after="0" w:line="240" w:lineRule="auto"/>
        <w:contextualSpacing/>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 xml:space="preserve">Zamawiający dopuszcza zaoferowanie produktów równoważnych. </w:t>
      </w:r>
    </w:p>
    <w:p w14:paraId="01CE27D4" w14:textId="77777777" w:rsidR="0028533D" w:rsidRPr="0028533D" w:rsidRDefault="0028533D" w:rsidP="0028533D">
      <w:pPr>
        <w:numPr>
          <w:ilvl w:val="0"/>
          <w:numId w:val="2"/>
        </w:numPr>
        <w:spacing w:after="0" w:line="240" w:lineRule="auto"/>
        <w:contextualSpacing/>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lastRenderedPageBreak/>
        <w:t>Zamawiający użył znaków towarowych dla powyższych produktów w oparciu o art. 99 ust. 5 Ustawy z dnia 11.09.2019 r. Prawo zamówień publicznych. Wykonawca powołujący się na rozwiązania równoważne stosownie do dyspozycji art. 101 ust. 5 PZP musi wykazać, że oferowane dostawy spełniają warunki określone przez Zamawiającego w stopniu nie gorszym. Na Wykonawcy spoczywa obwiązek wykazania jego równoważności. Wykonawca, który zaoferuje rozwiązanie równoważne, zobligowany jest zawrzeć w ofercie opis oprogramowania równoważnego, zawierający opis parametrów i funkcjonalności dla sprzętu lub oprogramowania równoważnego, określonych poniżej. Z opisu powinno jednoznaczne wynikać, że produkt oferowany jako równoważny spełnia wymagania.</w:t>
      </w:r>
    </w:p>
    <w:p w14:paraId="5CDAAFB4"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 xml:space="preserve">Wykonawca odpowiada za działania i zaniechania osób skierowanych do realizacji zadania jak za własne działania i zaniechania. </w:t>
      </w:r>
    </w:p>
    <w:p w14:paraId="4C93755E"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 przypadku zaoferowania rozwiązania równoważnego w stosunku do obecnie eksploatowanej relacyjnej bazy danych, Wykonawca zobowiązany jest wykazać, że oferowane oprogramowanie bazodanowe: jest oficjalnie wspierane przez producentów systemów dziedzinowych eksploatowanych przez Zamawiającego (AMMS PLUS (HIS, EDM, LIS, ERP), PACS),</w:t>
      </w:r>
      <w:r w:rsidRPr="0028533D">
        <w:rPr>
          <w:rFonts w:ascii="Calibri" w:eastAsia="Aptos" w:hAnsi="Calibri" w:cs="Calibri"/>
          <w:kern w:val="0"/>
          <w14:ligatures w14:val="none"/>
        </w:rPr>
        <w:t xml:space="preserve"> </w:t>
      </w:r>
      <w:r w:rsidRPr="0028533D">
        <w:rPr>
          <w:rFonts w:ascii="Calibri" w:eastAsia="Aptos" w:hAnsi="Calibri" w:cs="Calibri"/>
          <w:kern w:val="0"/>
          <w:sz w:val="20"/>
          <w:szCs w:val="20"/>
          <w14:ligatures w14:val="none"/>
        </w:rPr>
        <w:t>zapewnia możliwość realizacji wszystkich funkcjonalności systemów dziedzinowych bez ograniczeń oraz bez konieczności modyfikacji kodu aplikacyjnego tych systemów, nie powoduje utraty prawa do wsparcia serwisowego producentów systemów dziedzinowych.</w:t>
      </w:r>
    </w:p>
    <w:p w14:paraId="500A73FC"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 przypadku zaoferowania rozwiązania równoważnego Wykonawca zobowiązany jest, w ramach przedmiotu zamówienia, zapewnić migrację danych oraz niezbędnych konfiguracji w zakresie wymaganym do prawidłowego uruchomienia i eksploatacji oferowanego rozwiązania i dostarczenia odpowiednich licencji jeżeli są wymagane.</w:t>
      </w:r>
    </w:p>
    <w:p w14:paraId="3C106669"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Oferowane rozwiązanie musi zapewniać współdziałanie funkcjonalne, technologiczne i administracyjne z obecnie użytkowanymi systemami Zamawiającego w zakresie objętym OPZ, w sposób umożliwiający bieżącą realizację procesów klinicznych i administracyjnych</w:t>
      </w:r>
    </w:p>
    <w:p w14:paraId="5C359825"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 przypadku gdy oferowane rozwiązanie zastępuje funkcjonalnie dotychczas wykorzystywane komponenty systemowe, zastąpienie to nie może powodować pogorszenia funkcjonalności, wydajności ani bezpieczeństwa systemów Zamawiającego.</w:t>
      </w:r>
    </w:p>
    <w:p w14:paraId="0F1AA0A8"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Wykonawca ponosi odpowiedzialność za poprawne działanie oferowanego rozwiązania w zakresie objętym przedmiotem zamówienia oraz za jego zgodność z wymaganiami OPZ</w:t>
      </w:r>
    </w:p>
    <w:p w14:paraId="0B91FF03"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 przypadku wystąpienia problemów wynikających z niespełnienia wymagań OPZ w zakresie kompatybilności lub prawidłowego działania oferowanego rozwiązania, Wykonawca zobowiązany jest do ich usunięcia w ramach realizacji umowy.</w:t>
      </w:r>
    </w:p>
    <w:p w14:paraId="7AF0CF7B" w14:textId="77777777" w:rsidR="0028533D" w:rsidRPr="0028533D" w:rsidRDefault="0028533D" w:rsidP="0028533D">
      <w:pPr>
        <w:numPr>
          <w:ilvl w:val="0"/>
          <w:numId w:val="2"/>
        </w:numPr>
        <w:spacing w:after="0" w:line="240" w:lineRule="auto"/>
        <w:jc w:val="both"/>
        <w:rPr>
          <w:rFonts w:ascii="Calibri" w:eastAsia="Aptos" w:hAnsi="Calibri" w:cs="Calibri"/>
          <w:kern w:val="0"/>
          <w:sz w:val="20"/>
          <w:szCs w:val="20"/>
          <w14:ligatures w14:val="none"/>
        </w:rPr>
      </w:pPr>
      <w:r w:rsidRPr="0028533D">
        <w:rPr>
          <w:rFonts w:ascii="Calibri" w:eastAsia="Aptos" w:hAnsi="Calibri" w:cs="Calibri"/>
          <w:kern w:val="0"/>
          <w:sz w:val="20"/>
          <w:szCs w:val="20"/>
          <w14:ligatures w14:val="none"/>
        </w:rPr>
        <w:t>Weryfikacja spełnienia wymagań równoważności w działaniu następuje na etapie realizacji umowy oraz odbiorów, zgodnie z OPZ oraz postanowieniami umowy.</w:t>
      </w:r>
    </w:p>
    <w:p w14:paraId="03B83712" w14:textId="77777777" w:rsidR="00A52E8E" w:rsidRPr="00A52E8E" w:rsidRDefault="00A52E8E" w:rsidP="001656B0">
      <w:pPr>
        <w:spacing w:after="0" w:line="240" w:lineRule="auto"/>
        <w:ind w:left="2124"/>
        <w:jc w:val="both"/>
        <w:rPr>
          <w:rFonts w:ascii="Arial" w:hAnsi="Arial" w:cs="Arial"/>
          <w:sz w:val="22"/>
          <w:szCs w:val="22"/>
        </w:rPr>
      </w:pPr>
    </w:p>
    <w:p w14:paraId="76A303DB" w14:textId="77777777" w:rsidR="00E14D70" w:rsidRDefault="00E14D70" w:rsidP="00E14D70">
      <w:pPr>
        <w:jc w:val="both"/>
      </w:pPr>
    </w:p>
    <w:p w14:paraId="47E42978" w14:textId="0F4188AE" w:rsidR="00E14D70" w:rsidRPr="00E14D70" w:rsidRDefault="00E14D70" w:rsidP="00834FF9">
      <w:pPr>
        <w:widowControl w:val="0"/>
        <w:ind w:left="7788"/>
        <w:rPr>
          <w:rFonts w:ascii="Arial" w:eastAsia="Arial MT" w:hAnsi="Arial" w:cs="Arial"/>
          <w:color w:val="000000"/>
          <w:kern w:val="0"/>
          <w:sz w:val="20"/>
          <w:szCs w:val="20"/>
          <w:lang w:eastAsia="pl-PL"/>
          <w14:ligatures w14:val="none"/>
        </w:rPr>
      </w:pPr>
      <w:r w:rsidRPr="00E14D70">
        <w:rPr>
          <w:rFonts w:ascii="Arial" w:eastAsia="Arial MT" w:hAnsi="Arial" w:cs="Arial"/>
          <w:color w:val="000000"/>
          <w:kern w:val="0"/>
          <w:sz w:val="20"/>
          <w:szCs w:val="20"/>
          <w:lang w:eastAsia="pl-PL"/>
          <w14:ligatures w14:val="none"/>
        </w:rPr>
        <w:t>...................................................................</w:t>
      </w:r>
    </w:p>
    <w:p w14:paraId="1717BE08" w14:textId="70C5E53B" w:rsidR="00E14D70" w:rsidRPr="00E14D70" w:rsidRDefault="00E14D70" w:rsidP="00E14D70">
      <w:pPr>
        <w:widowControl w:val="0"/>
        <w:spacing w:after="0" w:line="240" w:lineRule="auto"/>
        <w:ind w:left="5664"/>
        <w:jc w:val="center"/>
        <w:rPr>
          <w:rFonts w:ascii="Arial" w:eastAsia="Arial MT" w:hAnsi="Arial" w:cs="Arial"/>
          <w:color w:val="FF0000"/>
          <w:kern w:val="0"/>
          <w:sz w:val="18"/>
          <w:szCs w:val="18"/>
          <w:lang w:eastAsia="pl-PL"/>
          <w14:ligatures w14:val="none"/>
        </w:rPr>
      </w:pPr>
      <w:r w:rsidRPr="00E14D70">
        <w:rPr>
          <w:rFonts w:ascii="Arial" w:eastAsia="Arial MT" w:hAnsi="Arial" w:cs="Arial"/>
          <w:i/>
          <w:color w:val="FF0000"/>
          <w:kern w:val="0"/>
          <w:sz w:val="18"/>
          <w:szCs w:val="18"/>
          <w:lang w:eastAsia="pl-PL"/>
          <w14:ligatures w14:val="none"/>
        </w:rPr>
        <w:t xml:space="preserve">kwalifikowany </w:t>
      </w:r>
      <w:r w:rsidRPr="00E14D70">
        <w:rPr>
          <w:rFonts w:ascii="Arial" w:eastAsia="Arial MT" w:hAnsi="Arial" w:cs="Arial"/>
          <w:b/>
          <w:i/>
          <w:color w:val="FF0000"/>
          <w:kern w:val="0"/>
          <w:sz w:val="18"/>
          <w:szCs w:val="18"/>
          <w:u w:val="single"/>
          <w:lang w:eastAsia="pl-PL"/>
          <w14:ligatures w14:val="none"/>
        </w:rPr>
        <w:t>podpis elektroniczny</w:t>
      </w:r>
      <w:r w:rsidRPr="00E14D70">
        <w:rPr>
          <w:rFonts w:ascii="Arial" w:eastAsia="Arial MT" w:hAnsi="Arial" w:cs="Arial"/>
          <w:i/>
          <w:color w:val="FF0000"/>
          <w:kern w:val="0"/>
          <w:sz w:val="18"/>
          <w:szCs w:val="18"/>
          <w:lang w:eastAsia="pl-PL"/>
          <w14:ligatures w14:val="none"/>
        </w:rPr>
        <w:t xml:space="preserve"> upoważnionego </w:t>
      </w:r>
      <w:r>
        <w:rPr>
          <w:rFonts w:ascii="Arial" w:eastAsia="Arial MT" w:hAnsi="Arial" w:cs="Arial"/>
          <w:i/>
          <w:color w:val="FF0000"/>
          <w:kern w:val="0"/>
          <w:sz w:val="18"/>
          <w:szCs w:val="18"/>
          <w:lang w:eastAsia="pl-PL"/>
          <w14:ligatures w14:val="none"/>
        </w:rPr>
        <w:br/>
      </w:r>
      <w:r w:rsidRPr="00E14D70">
        <w:rPr>
          <w:rFonts w:ascii="Arial" w:eastAsia="Arial MT" w:hAnsi="Arial" w:cs="Arial"/>
          <w:i/>
          <w:color w:val="FF0000"/>
          <w:kern w:val="0"/>
          <w:sz w:val="18"/>
          <w:szCs w:val="18"/>
          <w:lang w:eastAsia="pl-PL"/>
          <w14:ligatures w14:val="none"/>
        </w:rPr>
        <w:t>przedstawiciela uprawnionego do reprezentacji podmiotu</w:t>
      </w:r>
    </w:p>
    <w:p w14:paraId="04E1FFCB" w14:textId="77777777" w:rsidR="00E14D70" w:rsidRPr="00E14D70" w:rsidRDefault="00E14D70" w:rsidP="00E14D70">
      <w:pPr>
        <w:widowControl w:val="0"/>
        <w:spacing w:before="120" w:after="0" w:line="240" w:lineRule="auto"/>
        <w:rPr>
          <w:rFonts w:ascii="Arial" w:eastAsia="Arial" w:hAnsi="Arial" w:cs="Arial"/>
          <w:b/>
          <w:color w:val="FF0000"/>
          <w:kern w:val="0"/>
          <w:u w:val="single"/>
          <w:lang w:eastAsia="pl-PL"/>
          <w14:ligatures w14:val="none"/>
        </w:rPr>
      </w:pPr>
    </w:p>
    <w:p w14:paraId="556E5F32" w14:textId="6D1EBBC7" w:rsidR="00E14D70" w:rsidRDefault="00E14D70" w:rsidP="00E14D70">
      <w:pPr>
        <w:jc w:val="both"/>
      </w:pPr>
    </w:p>
    <w:sectPr w:rsidR="00E14D70" w:rsidSect="00E8234C">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804C6" w14:textId="77777777" w:rsidR="00D357C8" w:rsidRDefault="00D357C8" w:rsidP="00E14D70">
      <w:pPr>
        <w:spacing w:after="0" w:line="240" w:lineRule="auto"/>
      </w:pPr>
      <w:r>
        <w:separator/>
      </w:r>
    </w:p>
  </w:endnote>
  <w:endnote w:type="continuationSeparator" w:id="0">
    <w:p w14:paraId="4BC1EF79" w14:textId="77777777" w:rsidR="00D357C8" w:rsidRDefault="00D357C8" w:rsidP="00E14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FF1BB" w14:textId="30A41E50" w:rsidR="00327F1F" w:rsidRDefault="00211815">
    <w:pPr>
      <w:pStyle w:val="Stopka"/>
    </w:pPr>
    <w:r>
      <w:rPr>
        <w:noProof/>
      </w:rPr>
      <w:drawing>
        <wp:inline distT="0" distB="0" distL="0" distR="0" wp14:anchorId="232BB184" wp14:editId="5E45CF3F">
          <wp:extent cx="5850255" cy="673100"/>
          <wp:effectExtent l="0" t="0" r="0" b="0"/>
          <wp:docPr id="173640528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405285" name="Obraz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850255" cy="6731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BE602" w14:textId="77777777" w:rsidR="00D357C8" w:rsidRDefault="00D357C8" w:rsidP="00E14D70">
      <w:pPr>
        <w:spacing w:after="0" w:line="240" w:lineRule="auto"/>
      </w:pPr>
      <w:r>
        <w:separator/>
      </w:r>
    </w:p>
  </w:footnote>
  <w:footnote w:type="continuationSeparator" w:id="0">
    <w:p w14:paraId="493589C0" w14:textId="77777777" w:rsidR="00D357C8" w:rsidRDefault="00D357C8" w:rsidP="00E14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7F28" w14:textId="6A2F5619" w:rsidR="00E14D70" w:rsidRDefault="00E14D70" w:rsidP="00E14D70">
    <w:pPr>
      <w:pStyle w:val="Nagwek"/>
      <w:ind w:left="9204"/>
      <w:rPr>
        <w:rFonts w:ascii="Arial" w:hAnsi="Arial" w:cs="Arial"/>
        <w:b/>
        <w:bCs/>
        <w:sz w:val="22"/>
        <w:szCs w:val="22"/>
      </w:rPr>
    </w:pPr>
    <w:r w:rsidRPr="00E14D70">
      <w:rPr>
        <w:rFonts w:ascii="Arial" w:hAnsi="Arial" w:cs="Arial"/>
        <w:b/>
        <w:bCs/>
        <w:sz w:val="22"/>
        <w:szCs w:val="22"/>
      </w:rPr>
      <w:t xml:space="preserve">Załącznik nr </w:t>
    </w:r>
    <w:r w:rsidR="00327F1F">
      <w:rPr>
        <w:rFonts w:ascii="Arial" w:hAnsi="Arial" w:cs="Arial"/>
        <w:b/>
        <w:bCs/>
        <w:sz w:val="22"/>
        <w:szCs w:val="22"/>
      </w:rPr>
      <w:t>1</w:t>
    </w:r>
    <w:r w:rsidRPr="00E14D70">
      <w:rPr>
        <w:rFonts w:ascii="Arial" w:hAnsi="Arial" w:cs="Arial"/>
        <w:b/>
        <w:bCs/>
        <w:sz w:val="22"/>
        <w:szCs w:val="22"/>
      </w:rPr>
      <w:t>.</w:t>
    </w:r>
    <w:r w:rsidR="00327F1F">
      <w:rPr>
        <w:rFonts w:ascii="Arial" w:hAnsi="Arial" w:cs="Arial"/>
        <w:b/>
        <w:bCs/>
        <w:sz w:val="22"/>
        <w:szCs w:val="22"/>
      </w:rPr>
      <w:t>2</w:t>
    </w:r>
    <w:r w:rsidRPr="00E14D70">
      <w:rPr>
        <w:rFonts w:ascii="Arial" w:hAnsi="Arial" w:cs="Arial"/>
        <w:b/>
        <w:bCs/>
        <w:sz w:val="22"/>
        <w:szCs w:val="22"/>
      </w:rPr>
      <w:t>. do Formularza Ofertowego</w:t>
    </w:r>
  </w:p>
  <w:p w14:paraId="382F753B" w14:textId="77777777" w:rsidR="00E14D70" w:rsidRDefault="00E14D70" w:rsidP="00E14D70">
    <w:pPr>
      <w:pStyle w:val="Nagwek"/>
      <w:ind w:left="9204"/>
      <w:rPr>
        <w:rFonts w:ascii="Arial" w:hAnsi="Arial" w:cs="Arial"/>
        <w:b/>
        <w:bCs/>
        <w:sz w:val="22"/>
        <w:szCs w:val="22"/>
      </w:rPr>
    </w:pPr>
  </w:p>
  <w:p w14:paraId="79478683" w14:textId="77777777" w:rsidR="00E14D70" w:rsidRDefault="00E14D70" w:rsidP="00E14D70">
    <w:pPr>
      <w:pStyle w:val="Nagwek"/>
      <w:ind w:left="9204"/>
      <w:rPr>
        <w:rFonts w:ascii="Arial" w:hAnsi="Arial" w:cs="Arial"/>
        <w:b/>
        <w:bCs/>
        <w:sz w:val="22"/>
        <w:szCs w:val="22"/>
      </w:rPr>
    </w:pPr>
  </w:p>
  <w:p w14:paraId="3731CDD8" w14:textId="4BC7DADD" w:rsidR="00E14D70" w:rsidRDefault="00E14D70" w:rsidP="00E14D70">
    <w:pPr>
      <w:pStyle w:val="Nagwek"/>
      <w:rPr>
        <w:rFonts w:ascii="Arial" w:hAnsi="Arial" w:cs="Arial"/>
        <w:b/>
        <w:bCs/>
        <w:sz w:val="22"/>
        <w:szCs w:val="22"/>
      </w:rPr>
    </w:pPr>
    <w:r>
      <w:rPr>
        <w:rFonts w:ascii="Arial" w:hAnsi="Arial" w:cs="Arial"/>
        <w:b/>
        <w:bCs/>
        <w:sz w:val="22"/>
        <w:szCs w:val="22"/>
      </w:rPr>
      <w:tab/>
    </w:r>
    <w:r>
      <w:rPr>
        <w:rFonts w:ascii="Arial" w:hAnsi="Arial" w:cs="Arial"/>
        <w:b/>
        <w:bCs/>
        <w:sz w:val="22"/>
        <w:szCs w:val="22"/>
      </w:rPr>
      <w:tab/>
      <w:t>Formularz asortymentowy</w:t>
    </w:r>
    <w:r w:rsidR="00CF1BAE">
      <w:rPr>
        <w:rFonts w:ascii="Arial" w:hAnsi="Arial" w:cs="Arial"/>
        <w:b/>
        <w:bCs/>
        <w:sz w:val="22"/>
        <w:szCs w:val="22"/>
      </w:rPr>
      <w:t xml:space="preserve"> (Część 2 – Pakiet 2)</w:t>
    </w:r>
  </w:p>
  <w:p w14:paraId="4FB7086B" w14:textId="77777777" w:rsidR="00E14D70" w:rsidRPr="00E14D70" w:rsidRDefault="00E14D70" w:rsidP="00E14D70">
    <w:pPr>
      <w:pStyle w:val="Nagwek"/>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0A97"/>
    <w:multiLevelType w:val="hybridMultilevel"/>
    <w:tmpl w:val="391064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892A23"/>
    <w:multiLevelType w:val="multilevel"/>
    <w:tmpl w:val="7476774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4FF64698"/>
    <w:multiLevelType w:val="hybridMultilevel"/>
    <w:tmpl w:val="B2B2FB16"/>
    <w:lvl w:ilvl="0" w:tplc="0415000F">
      <w:start w:val="1"/>
      <w:numFmt w:val="decimal"/>
      <w:lvlText w:val="%1."/>
      <w:lvlJc w:val="left"/>
      <w:pPr>
        <w:ind w:left="436"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3" w15:restartNumberingAfterBreak="0">
    <w:nsid w:val="5E360637"/>
    <w:multiLevelType w:val="multilevel"/>
    <w:tmpl w:val="2FCE3A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DAA6841"/>
    <w:multiLevelType w:val="multilevel"/>
    <w:tmpl w:val="B9C8DB8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33C2156"/>
    <w:multiLevelType w:val="hybridMultilevel"/>
    <w:tmpl w:val="2BD85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39562356">
    <w:abstractNumId w:val="0"/>
  </w:num>
  <w:num w:numId="2" w16cid:durableId="437481302">
    <w:abstractNumId w:val="2"/>
  </w:num>
  <w:num w:numId="3" w16cid:durableId="527108252">
    <w:abstractNumId w:val="1"/>
  </w:num>
  <w:num w:numId="4" w16cid:durableId="2019916434">
    <w:abstractNumId w:val="4"/>
  </w:num>
  <w:num w:numId="5" w16cid:durableId="925384847">
    <w:abstractNumId w:val="5"/>
  </w:num>
  <w:num w:numId="6" w16cid:durableId="1214580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3E0"/>
    <w:rsid w:val="00040C77"/>
    <w:rsid w:val="001656B0"/>
    <w:rsid w:val="00194067"/>
    <w:rsid w:val="00211815"/>
    <w:rsid w:val="0028533D"/>
    <w:rsid w:val="00327F1F"/>
    <w:rsid w:val="00335502"/>
    <w:rsid w:val="003E5A36"/>
    <w:rsid w:val="0040290A"/>
    <w:rsid w:val="004D64B2"/>
    <w:rsid w:val="00612587"/>
    <w:rsid w:val="0073251A"/>
    <w:rsid w:val="007544FB"/>
    <w:rsid w:val="007675AA"/>
    <w:rsid w:val="00806299"/>
    <w:rsid w:val="00834FF9"/>
    <w:rsid w:val="0087658B"/>
    <w:rsid w:val="008F09A2"/>
    <w:rsid w:val="0099319D"/>
    <w:rsid w:val="00A34EEE"/>
    <w:rsid w:val="00A45B0E"/>
    <w:rsid w:val="00A52E8E"/>
    <w:rsid w:val="00B040FB"/>
    <w:rsid w:val="00C70826"/>
    <w:rsid w:val="00CC33E0"/>
    <w:rsid w:val="00CF1BAE"/>
    <w:rsid w:val="00D357C8"/>
    <w:rsid w:val="00E14D70"/>
    <w:rsid w:val="00E823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166F7"/>
  <w15:chartTrackingRefBased/>
  <w15:docId w15:val="{8D255479-1453-43C2-ABDB-BCD97AA7F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33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C33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C33E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C33E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C33E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C33E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33E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33E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33E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33E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C33E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C33E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C33E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C33E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C33E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33E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33E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33E0"/>
    <w:rPr>
      <w:rFonts w:eastAsiaTheme="majorEastAsia" w:cstheme="majorBidi"/>
      <w:color w:val="272727" w:themeColor="text1" w:themeTint="D8"/>
    </w:rPr>
  </w:style>
  <w:style w:type="paragraph" w:styleId="Tytu">
    <w:name w:val="Title"/>
    <w:basedOn w:val="Normalny"/>
    <w:next w:val="Normalny"/>
    <w:link w:val="TytuZnak"/>
    <w:uiPriority w:val="10"/>
    <w:qFormat/>
    <w:rsid w:val="00CC33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33E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33E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33E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33E0"/>
    <w:pPr>
      <w:spacing w:before="160"/>
      <w:jc w:val="center"/>
    </w:pPr>
    <w:rPr>
      <w:i/>
      <w:iCs/>
      <w:color w:val="404040" w:themeColor="text1" w:themeTint="BF"/>
    </w:rPr>
  </w:style>
  <w:style w:type="character" w:customStyle="1" w:styleId="CytatZnak">
    <w:name w:val="Cytat Znak"/>
    <w:basedOn w:val="Domylnaczcionkaakapitu"/>
    <w:link w:val="Cytat"/>
    <w:uiPriority w:val="29"/>
    <w:rsid w:val="00CC33E0"/>
    <w:rPr>
      <w:i/>
      <w:iCs/>
      <w:color w:val="404040" w:themeColor="text1" w:themeTint="BF"/>
    </w:rPr>
  </w:style>
  <w:style w:type="paragraph" w:styleId="Akapitzlist">
    <w:name w:val="List Paragraph"/>
    <w:aliases w:val="L1,Numerowanie,normalny tekst,BulletC,Wyliczanie,Obiekt,Akapit z listą31,Bullets,Preambuła,Wypunktowanie,CW_Lista,Akapit z listą siwz,Podsis rysunku,Akapit z listą numerowaną,Akapit z listą3,Normal2,List Paragraph1,lp1,Bullet Number,lp11"/>
    <w:basedOn w:val="Normalny"/>
    <w:link w:val="AkapitzlistZnak"/>
    <w:qFormat/>
    <w:rsid w:val="00CC33E0"/>
    <w:pPr>
      <w:ind w:left="720"/>
      <w:contextualSpacing/>
    </w:pPr>
  </w:style>
  <w:style w:type="character" w:styleId="Wyrnienieintensywne">
    <w:name w:val="Intense Emphasis"/>
    <w:basedOn w:val="Domylnaczcionkaakapitu"/>
    <w:uiPriority w:val="21"/>
    <w:qFormat/>
    <w:rsid w:val="00CC33E0"/>
    <w:rPr>
      <w:i/>
      <w:iCs/>
      <w:color w:val="2F5496" w:themeColor="accent1" w:themeShade="BF"/>
    </w:rPr>
  </w:style>
  <w:style w:type="paragraph" w:styleId="Cytatintensywny">
    <w:name w:val="Intense Quote"/>
    <w:basedOn w:val="Normalny"/>
    <w:next w:val="Normalny"/>
    <w:link w:val="CytatintensywnyZnak"/>
    <w:uiPriority w:val="30"/>
    <w:qFormat/>
    <w:rsid w:val="00CC33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C33E0"/>
    <w:rPr>
      <w:i/>
      <w:iCs/>
      <w:color w:val="2F5496" w:themeColor="accent1" w:themeShade="BF"/>
    </w:rPr>
  </w:style>
  <w:style w:type="character" w:styleId="Odwoanieintensywne">
    <w:name w:val="Intense Reference"/>
    <w:basedOn w:val="Domylnaczcionkaakapitu"/>
    <w:uiPriority w:val="32"/>
    <w:qFormat/>
    <w:rsid w:val="00CC33E0"/>
    <w:rPr>
      <w:b/>
      <w:bCs/>
      <w:smallCaps/>
      <w:color w:val="2F5496" w:themeColor="accent1" w:themeShade="BF"/>
      <w:spacing w:val="5"/>
    </w:rPr>
  </w:style>
  <w:style w:type="table" w:styleId="Tabela-Siatka">
    <w:name w:val="Table Grid"/>
    <w:basedOn w:val="Standardowy"/>
    <w:uiPriority w:val="39"/>
    <w:rsid w:val="00E82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14D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14D70"/>
  </w:style>
  <w:style w:type="paragraph" w:styleId="Stopka">
    <w:name w:val="footer"/>
    <w:basedOn w:val="Normalny"/>
    <w:link w:val="StopkaZnak"/>
    <w:uiPriority w:val="99"/>
    <w:unhideWhenUsed/>
    <w:rsid w:val="00E14D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14D70"/>
  </w:style>
  <w:style w:type="character" w:styleId="Odwoaniedokomentarza">
    <w:name w:val="annotation reference"/>
    <w:basedOn w:val="Domylnaczcionkaakapitu"/>
    <w:uiPriority w:val="99"/>
    <w:semiHidden/>
    <w:unhideWhenUsed/>
    <w:rsid w:val="008F09A2"/>
    <w:rPr>
      <w:sz w:val="16"/>
      <w:szCs w:val="16"/>
    </w:rPr>
  </w:style>
  <w:style w:type="paragraph" w:styleId="Tekstkomentarza">
    <w:name w:val="annotation text"/>
    <w:basedOn w:val="Normalny"/>
    <w:link w:val="TekstkomentarzaZnak"/>
    <w:uiPriority w:val="99"/>
    <w:semiHidden/>
    <w:unhideWhenUsed/>
    <w:rsid w:val="008F09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F09A2"/>
    <w:rPr>
      <w:sz w:val="20"/>
      <w:szCs w:val="20"/>
    </w:rPr>
  </w:style>
  <w:style w:type="paragraph" w:styleId="Tematkomentarza">
    <w:name w:val="annotation subject"/>
    <w:basedOn w:val="Tekstkomentarza"/>
    <w:next w:val="Tekstkomentarza"/>
    <w:link w:val="TematkomentarzaZnak"/>
    <w:uiPriority w:val="99"/>
    <w:semiHidden/>
    <w:unhideWhenUsed/>
    <w:rsid w:val="008F09A2"/>
    <w:rPr>
      <w:b/>
      <w:bCs/>
    </w:rPr>
  </w:style>
  <w:style w:type="character" w:customStyle="1" w:styleId="TematkomentarzaZnak">
    <w:name w:val="Temat komentarza Znak"/>
    <w:basedOn w:val="TekstkomentarzaZnak"/>
    <w:link w:val="Tematkomentarza"/>
    <w:uiPriority w:val="99"/>
    <w:semiHidden/>
    <w:rsid w:val="008F09A2"/>
    <w:rPr>
      <w:b/>
      <w:bCs/>
      <w:sz w:val="20"/>
      <w:szCs w:val="20"/>
    </w:rPr>
  </w:style>
  <w:style w:type="character" w:customStyle="1" w:styleId="AkapitzlistZnak">
    <w:name w:val="Akapit z listą Znak"/>
    <w:aliases w:val="L1 Znak,Numerowanie Znak,normalny tekst Znak,BulletC Znak,Wyliczanie Znak,Obiekt Znak,Akapit z listą31 Znak,Bullets Znak,Preambuła Znak,Wypunktowanie Znak,CW_Lista Znak,Akapit z listą siwz Znak,Podsis rysunku Znak,Normal2 Znak"/>
    <w:basedOn w:val="Domylnaczcionkaakapitu"/>
    <w:link w:val="Akapitzlist"/>
    <w:qFormat/>
    <w:locked/>
    <w:rsid w:val="00165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2692</Words>
  <Characters>16153</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Żelazko Edyta</dc:creator>
  <cp:keywords/>
  <dc:description/>
  <cp:lastModifiedBy>Gromadzka Agnieszka</cp:lastModifiedBy>
  <cp:revision>15</cp:revision>
  <cp:lastPrinted>2026-04-14T09:26:00Z</cp:lastPrinted>
  <dcterms:created xsi:type="dcterms:W3CDTF">2026-03-30T11:33:00Z</dcterms:created>
  <dcterms:modified xsi:type="dcterms:W3CDTF">2026-04-14T09:27:00Z</dcterms:modified>
</cp:coreProperties>
</file>